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8348" w14:textId="354E0DF2" w:rsidR="00E2211E" w:rsidRPr="00E2211E" w:rsidRDefault="00E2211E" w:rsidP="00E2211E">
      <w:r w:rsidRPr="00E2211E">
        <w:rPr>
          <w:b/>
          <w:bCs/>
        </w:rPr>
        <w:t>Déclaration de participation à label Transmission signée du dirigeant de l’entreprise</w:t>
      </w:r>
    </w:p>
    <w:p w14:paraId="72063582" w14:textId="733FB2C3" w:rsidR="004D3ACB" w:rsidRDefault="00E2211E" w:rsidP="004D3ACB">
      <w:r w:rsidRPr="00E2211E">
        <w:t xml:space="preserve">L’entreprise </w:t>
      </w:r>
      <w:r w:rsidR="004D3ACB">
        <w:t xml:space="preserve">respecte la bonne pratique </w:t>
      </w:r>
      <w:r w:rsidR="004D3ACB" w:rsidRPr="004D3ACB">
        <w:rPr>
          <w:b/>
          <w:bCs/>
          <w:i/>
          <w:iCs/>
        </w:rPr>
        <w:t>label Transmission</w:t>
      </w:r>
    </w:p>
    <w:p w14:paraId="3DA21006" w14:textId="121B9CB2" w:rsidR="004D3ACB" w:rsidRDefault="004D3ACB" w:rsidP="00E2211E">
      <w:pPr>
        <w:pStyle w:val="Paragraphedeliste"/>
        <w:numPr>
          <w:ilvl w:val="0"/>
          <w:numId w:val="3"/>
        </w:numPr>
      </w:pPr>
      <w:r>
        <w:t xml:space="preserve">Elle </w:t>
      </w:r>
      <w:r w:rsidR="00E2211E" w:rsidRPr="00E2211E">
        <w:t>transmet à ses clients le </w:t>
      </w:r>
      <w:r w:rsidR="00E2211E" w:rsidRPr="004D3ACB">
        <w:rPr>
          <w:b/>
          <w:bCs/>
        </w:rPr>
        <w:t>Contenu Carbone Produit</w:t>
      </w:r>
      <w:r w:rsidR="003124CE" w:rsidRPr="004D3ACB">
        <w:rPr>
          <w:b/>
          <w:bCs/>
        </w:rPr>
        <w:t>*</w:t>
      </w:r>
      <w:r w:rsidR="00E2211E" w:rsidRPr="00E2211E">
        <w:t> des biens et services qu’elle leur vend sur tous les documents indiquant le prix (facture, devis, liste de prix, etc.). Le contenu transmis est tiré de façon rigoureuse et comparable du dernier </w:t>
      </w:r>
      <w:r w:rsidR="00E2211E" w:rsidRPr="004D3ACB">
        <w:rPr>
          <w:b/>
          <w:bCs/>
        </w:rPr>
        <w:t>Compte Carbone de Production</w:t>
      </w:r>
      <w:r w:rsidR="003124CE" w:rsidRPr="004D3ACB">
        <w:rPr>
          <w:b/>
          <w:bCs/>
        </w:rPr>
        <w:t>**</w:t>
      </w:r>
      <w:r w:rsidR="00E2211E" w:rsidRPr="004D3ACB">
        <w:rPr>
          <w:b/>
          <w:bCs/>
        </w:rPr>
        <w:t> </w:t>
      </w:r>
      <w:r w:rsidR="00E2211E" w:rsidRPr="00E2211E">
        <w:t xml:space="preserve">annuel de l’entreprise pour l’activité du produit, en suivant les principes </w:t>
      </w:r>
      <w:r>
        <w:t xml:space="preserve">de base </w:t>
      </w:r>
      <w:r w:rsidR="00E2211E" w:rsidRPr="00E2211E">
        <w:t xml:space="preserve">(décrits en annexe) </w:t>
      </w:r>
      <w:r>
        <w:t>des</w:t>
      </w:r>
      <w:r w:rsidR="00E2211E" w:rsidRPr="00E2211E">
        <w:t> </w:t>
      </w:r>
      <w:r w:rsidR="00E2211E" w:rsidRPr="004D3ACB">
        <w:rPr>
          <w:b/>
          <w:bCs/>
        </w:rPr>
        <w:t>Comptabilités Carbone cumulatives</w:t>
      </w:r>
      <w:r w:rsidR="003124CE" w:rsidRPr="004D3ACB">
        <w:rPr>
          <w:b/>
          <w:bCs/>
        </w:rPr>
        <w:t>***</w:t>
      </w:r>
      <w:r w:rsidR="00E2211E" w:rsidRPr="00E2211E">
        <w:t>.</w:t>
      </w:r>
    </w:p>
    <w:p w14:paraId="72954D41" w14:textId="77777777" w:rsidR="004D3ACB" w:rsidRDefault="004D3ACB" w:rsidP="004D3ACB">
      <w:pPr>
        <w:pStyle w:val="Paragraphedeliste"/>
        <w:ind w:left="360"/>
      </w:pPr>
    </w:p>
    <w:p w14:paraId="42DB3FF9" w14:textId="0A2E3A5D" w:rsidR="003124CE" w:rsidRPr="004D3ACB" w:rsidRDefault="004D3ACB" w:rsidP="00E2211E">
      <w:pPr>
        <w:pStyle w:val="Paragraphedeliste"/>
        <w:numPr>
          <w:ilvl w:val="0"/>
          <w:numId w:val="3"/>
        </w:numPr>
      </w:pPr>
      <w:r>
        <w:t xml:space="preserve">Elle prend en compte le respect de la bonne pratique chez ses partenaires. Son calcul du Compte Carbone </w:t>
      </w:r>
      <w:r w:rsidR="00E2211E" w:rsidRPr="00E2211E">
        <w:t xml:space="preserve">évite d’appliquer une marge de prudence au </w:t>
      </w:r>
      <w:r>
        <w:t>C</w:t>
      </w:r>
      <w:r w:rsidR="00E2211E" w:rsidRPr="00E2211E">
        <w:t xml:space="preserve">ontenu </w:t>
      </w:r>
      <w:r>
        <w:t>C</w:t>
      </w:r>
      <w:r w:rsidR="00E2211E" w:rsidRPr="00E2211E">
        <w:t xml:space="preserve">arbone </w:t>
      </w:r>
      <w:r>
        <w:t>P</w:t>
      </w:r>
      <w:r w:rsidR="00E2211E" w:rsidRPr="00E2211E">
        <w:t>roduit d</w:t>
      </w:r>
      <w:r>
        <w:t>es f</w:t>
      </w:r>
      <w:r w:rsidR="00E2211E" w:rsidRPr="00E2211E">
        <w:t>ournisseur</w:t>
      </w:r>
      <w:r>
        <w:t>s</w:t>
      </w:r>
      <w:r w:rsidR="00E2211E" w:rsidRPr="00E2211E">
        <w:t xml:space="preserve"> respectant</w:t>
      </w:r>
      <w:r>
        <w:t xml:space="preserve"> </w:t>
      </w:r>
      <w:r w:rsidR="00E2211E" w:rsidRPr="004D3ACB">
        <w:rPr>
          <w:i/>
          <w:iCs/>
        </w:rPr>
        <w:t>label Transmission</w:t>
      </w:r>
      <w:r w:rsidR="00E2211E" w:rsidRPr="00E2211E">
        <w:t>.</w:t>
      </w:r>
    </w:p>
    <w:p w14:paraId="1E4BF372" w14:textId="3B60FC34" w:rsidR="003124CE" w:rsidRDefault="009C6CDE" w:rsidP="009C6CDE">
      <w:pPr>
        <w:ind w:left="5664"/>
      </w:pPr>
      <w:r>
        <w:t>Signature</w:t>
      </w:r>
    </w:p>
    <w:p w14:paraId="3DCDD7A4" w14:textId="77777777" w:rsidR="009C6CDE" w:rsidRDefault="009C6CDE" w:rsidP="009C6CDE">
      <w:pPr>
        <w:ind w:left="5664"/>
      </w:pPr>
    </w:p>
    <w:p w14:paraId="364E2E2C" w14:textId="1CD69442" w:rsidR="00F63457" w:rsidRPr="00F63457" w:rsidRDefault="003124CE" w:rsidP="00F63457">
      <w:pPr>
        <w:rPr>
          <w:i/>
          <w:iCs/>
        </w:rPr>
      </w:pPr>
      <w:r>
        <w:rPr>
          <w:i/>
          <w:iCs/>
        </w:rPr>
        <w:t>*</w:t>
      </w:r>
      <w:r w:rsidR="00F63457" w:rsidRPr="00F63457">
        <w:rPr>
          <w:b/>
          <w:bCs/>
          <w:i/>
          <w:iCs/>
        </w:rPr>
        <w:t>Le Contenu Carbone Produit </w:t>
      </w:r>
      <w:r w:rsidR="00F63457" w:rsidRPr="00F63457">
        <w:rPr>
          <w:i/>
          <w:iCs/>
        </w:rPr>
        <w:t xml:space="preserve">est la quantité totale d’équivalents carbone de gaz à effet de serre émise dans l’ensemble de la chaîne de production du bien ou du service : soit par des émissions directes de l’organisation, soit par le Contenu Carbone Produit de ses intrants. </w:t>
      </w:r>
    </w:p>
    <w:p w14:paraId="0D5CC59A" w14:textId="1ED590A3" w:rsidR="003124CE" w:rsidRDefault="00F63457" w:rsidP="00E2211E">
      <w:pPr>
        <w:rPr>
          <w:i/>
          <w:iCs/>
        </w:rPr>
      </w:pPr>
      <w:r w:rsidRPr="00F63457">
        <w:rPr>
          <w:i/>
          <w:iCs/>
        </w:rPr>
        <w:t xml:space="preserve">Le nom Contenu Carbone du Produit (Product Carbon Content) et sa définition sont inspirés des travaux du professeur Ulf Von Kalckreuth. Il fédère de nombreuses appellations dont les définitions sont équivalentes : émissions intégrées </w:t>
      </w:r>
      <w:r w:rsidR="009C6CDE">
        <w:rPr>
          <w:i/>
          <w:iCs/>
        </w:rPr>
        <w:t xml:space="preserve">produit </w:t>
      </w:r>
      <w:r w:rsidRPr="00F63457">
        <w:rPr>
          <w:i/>
          <w:iCs/>
        </w:rPr>
        <w:t>du Mécanisme d’ajustement carbone aux frontières de l’Union Européenne, e-passifs de l’E-</w:t>
      </w:r>
      <w:proofErr w:type="spellStart"/>
      <w:r w:rsidRPr="00F63457">
        <w:rPr>
          <w:i/>
          <w:iCs/>
        </w:rPr>
        <w:t>l</w:t>
      </w:r>
      <w:r w:rsidR="009C6CDE">
        <w:rPr>
          <w:i/>
          <w:iCs/>
        </w:rPr>
        <w:t>edgers</w:t>
      </w:r>
      <w:proofErr w:type="spellEnd"/>
      <w:r w:rsidRPr="00F63457">
        <w:rPr>
          <w:i/>
          <w:iCs/>
        </w:rPr>
        <w:t xml:space="preserve"> Institute, empreinte carbone des groupes de produits dans les matrices Entrées-Sorties, émissions </w:t>
      </w:r>
      <w:r w:rsidR="009C6CDE">
        <w:rPr>
          <w:i/>
          <w:iCs/>
        </w:rPr>
        <w:t xml:space="preserve">produit </w:t>
      </w:r>
      <w:r w:rsidRPr="00F63457">
        <w:rPr>
          <w:i/>
          <w:iCs/>
        </w:rPr>
        <w:t xml:space="preserve">des Analyses du cycle de vie « de la mine au client », émissions </w:t>
      </w:r>
      <w:r w:rsidR="009C6CDE">
        <w:rPr>
          <w:i/>
          <w:iCs/>
        </w:rPr>
        <w:t xml:space="preserve">produit </w:t>
      </w:r>
      <w:r w:rsidRPr="00F63457">
        <w:rPr>
          <w:i/>
          <w:iCs/>
        </w:rPr>
        <w:t xml:space="preserve">des scopes 1, 2 et 3 </w:t>
      </w:r>
      <w:proofErr w:type="gramStart"/>
      <w:r w:rsidRPr="00F63457">
        <w:rPr>
          <w:i/>
          <w:iCs/>
        </w:rPr>
        <w:t>amont</w:t>
      </w:r>
      <w:proofErr w:type="gramEnd"/>
      <w:r w:rsidRPr="00F63457">
        <w:rPr>
          <w:i/>
          <w:iCs/>
        </w:rPr>
        <w:t xml:space="preserve"> des protocoles carbone (GHG Protocol, Bilan Carbone, …).</w:t>
      </w:r>
    </w:p>
    <w:p w14:paraId="47C8366A" w14:textId="6270399E" w:rsidR="00F63457" w:rsidRDefault="00F63457" w:rsidP="00F63457">
      <w:pPr>
        <w:rPr>
          <w:i/>
          <w:iCs/>
        </w:rPr>
      </w:pPr>
      <w:r>
        <w:rPr>
          <w:i/>
          <w:iCs/>
        </w:rPr>
        <w:t>**</w:t>
      </w:r>
      <w:r w:rsidRPr="00F63457">
        <w:rPr>
          <w:b/>
          <w:bCs/>
          <w:i/>
          <w:iCs/>
        </w:rPr>
        <w:t>Le Compte Carbone Annuel</w:t>
      </w:r>
      <w:r w:rsidRPr="00F63457">
        <w:rPr>
          <w:i/>
          <w:iCs/>
        </w:rPr>
        <w:t> est un compte que tient une organisation en kg d’équivalent CO</w:t>
      </w:r>
      <w:r w:rsidRPr="00F63457">
        <w:rPr>
          <w:i/>
          <w:iCs/>
          <w:vertAlign w:val="superscript"/>
        </w:rPr>
        <w:t>2</w:t>
      </w:r>
      <w:r w:rsidRPr="00F63457">
        <w:rPr>
          <w:i/>
          <w:iCs/>
        </w:rPr>
        <w:t xml:space="preserve"> pour son activité, ou chaque activité significative. Basé sur les opérations sur biens et services des comptes </w:t>
      </w:r>
      <w:r w:rsidR="009C6CDE">
        <w:rPr>
          <w:i/>
          <w:iCs/>
        </w:rPr>
        <w:t>monétaires,</w:t>
      </w:r>
      <w:r w:rsidRPr="00F63457">
        <w:rPr>
          <w:i/>
          <w:iCs/>
        </w:rPr>
        <w:t xml:space="preserve"> </w:t>
      </w:r>
      <w:r w:rsidR="009C6CDE">
        <w:rPr>
          <w:i/>
          <w:iCs/>
        </w:rPr>
        <w:t>i</w:t>
      </w:r>
      <w:r w:rsidRPr="00F63457">
        <w:rPr>
          <w:i/>
          <w:iCs/>
        </w:rPr>
        <w:t>l enregistre les émissions de production de l’exercice (directes ou venant du Contenu Carbone Produit des achats) et les émissions des Contenus Carbone Produit transmis aux clients avec les ventes de l’activité rattachées à l’exercice. Il vise l’équilibre.</w:t>
      </w:r>
    </w:p>
    <w:p w14:paraId="22638B9F" w14:textId="4F986A88" w:rsidR="00F63457" w:rsidRDefault="00F63457" w:rsidP="00F63457">
      <w:pPr>
        <w:rPr>
          <w:i/>
          <w:iCs/>
        </w:rPr>
      </w:pPr>
      <w:r>
        <w:rPr>
          <w:i/>
          <w:iCs/>
        </w:rPr>
        <w:t>***</w:t>
      </w:r>
      <w:r w:rsidRPr="00F63457">
        <w:rPr>
          <w:i/>
          <w:iCs/>
        </w:rPr>
        <w:t>La notion de </w:t>
      </w:r>
      <w:r w:rsidRPr="00F63457">
        <w:rPr>
          <w:b/>
          <w:bCs/>
          <w:i/>
          <w:iCs/>
        </w:rPr>
        <w:t>Comptabilités Carbone Cumulatives</w:t>
      </w:r>
      <w:r w:rsidRPr="00F63457">
        <w:rPr>
          <w:i/>
          <w:iCs/>
        </w:rPr>
        <w:t xml:space="preserve"> (Cumulative Carbon </w:t>
      </w:r>
      <w:proofErr w:type="spellStart"/>
      <w:r w:rsidRPr="00F63457">
        <w:rPr>
          <w:i/>
          <w:iCs/>
        </w:rPr>
        <w:t>Accountings</w:t>
      </w:r>
      <w:proofErr w:type="spellEnd"/>
      <w:r w:rsidRPr="00F63457">
        <w:rPr>
          <w:i/>
          <w:iCs/>
        </w:rPr>
        <w:t xml:space="preserve">) et leurs principes sont inspirés : des travaux du professeur Ulf Von Kalckreuth ; de ceux des professeurs Robert Kaplan (Harvard Business </w:t>
      </w:r>
      <w:proofErr w:type="spellStart"/>
      <w:r w:rsidRPr="00F63457">
        <w:rPr>
          <w:i/>
          <w:iCs/>
        </w:rPr>
        <w:t>school</w:t>
      </w:r>
      <w:proofErr w:type="spellEnd"/>
      <w:r w:rsidRPr="00F63457">
        <w:rPr>
          <w:i/>
          <w:iCs/>
        </w:rPr>
        <w:t xml:space="preserve">) et Karthik Ramanna (Oxford </w:t>
      </w:r>
      <w:proofErr w:type="spellStart"/>
      <w:r w:rsidRPr="00F63457">
        <w:rPr>
          <w:i/>
          <w:iCs/>
        </w:rPr>
        <w:t>University</w:t>
      </w:r>
      <w:proofErr w:type="spellEnd"/>
      <w:r w:rsidRPr="00F63457">
        <w:rPr>
          <w:i/>
          <w:iCs/>
        </w:rPr>
        <w:t>), inventeurs de la première comptabilité carbone cumulative (E-</w:t>
      </w:r>
      <w:proofErr w:type="spellStart"/>
      <w:r w:rsidRPr="00F63457">
        <w:rPr>
          <w:i/>
          <w:iCs/>
        </w:rPr>
        <w:t>ledger</w:t>
      </w:r>
      <w:proofErr w:type="spellEnd"/>
      <w:r w:rsidRPr="00F63457">
        <w:rPr>
          <w:i/>
          <w:iCs/>
        </w:rPr>
        <w:t xml:space="preserve">) ; </w:t>
      </w:r>
      <w:proofErr w:type="gramStart"/>
      <w:r w:rsidRPr="00F63457">
        <w:rPr>
          <w:i/>
          <w:iCs/>
        </w:rPr>
        <w:t>des autres comptabilités carbone</w:t>
      </w:r>
      <w:proofErr w:type="gramEnd"/>
      <w:r w:rsidRPr="00F63457">
        <w:rPr>
          <w:i/>
          <w:iCs/>
        </w:rPr>
        <w:t xml:space="preserve"> cumulatives (Comptabilité collaborative des </w:t>
      </w:r>
      <w:proofErr w:type="spellStart"/>
      <w:r w:rsidRPr="00F63457">
        <w:rPr>
          <w:i/>
          <w:iCs/>
        </w:rPr>
        <w:t>Shifters</w:t>
      </w:r>
      <w:proofErr w:type="spellEnd"/>
      <w:r w:rsidRPr="00F63457">
        <w:rPr>
          <w:i/>
          <w:iCs/>
        </w:rPr>
        <w:t>, Comptes carbone Prod</w:t>
      </w:r>
      <w:r w:rsidR="004D3ACB">
        <w:rPr>
          <w:i/>
          <w:iCs/>
        </w:rPr>
        <w:t xml:space="preserve">uit </w:t>
      </w:r>
      <w:r w:rsidRPr="00F63457">
        <w:rPr>
          <w:i/>
          <w:iCs/>
        </w:rPr>
        <w:t>de Carbones sur factures …).</w:t>
      </w:r>
    </w:p>
    <w:p w14:paraId="33EE7608" w14:textId="77777777" w:rsidR="009C6CDE" w:rsidRDefault="009C6CDE" w:rsidP="00F63457">
      <w:pPr>
        <w:rPr>
          <w:i/>
          <w:iCs/>
        </w:rPr>
      </w:pPr>
    </w:p>
    <w:p w14:paraId="126535FE" w14:textId="77777777" w:rsidR="009C6CDE" w:rsidRDefault="009C6CDE" w:rsidP="00F63457">
      <w:pPr>
        <w:rPr>
          <w:i/>
          <w:iCs/>
        </w:rPr>
      </w:pPr>
    </w:p>
    <w:p w14:paraId="3D6E4588" w14:textId="77777777" w:rsidR="009C6CDE" w:rsidRDefault="009C6CDE" w:rsidP="00F63457">
      <w:pPr>
        <w:rPr>
          <w:i/>
          <w:iCs/>
        </w:rPr>
      </w:pPr>
    </w:p>
    <w:p w14:paraId="01A41EC4" w14:textId="77777777" w:rsidR="009C6CDE" w:rsidRDefault="009C6CDE" w:rsidP="00F63457">
      <w:pPr>
        <w:rPr>
          <w:i/>
          <w:iCs/>
        </w:rPr>
      </w:pPr>
    </w:p>
    <w:p w14:paraId="0C98EE59" w14:textId="77777777" w:rsidR="009C6CDE" w:rsidRPr="00E2211E" w:rsidRDefault="009C6CDE" w:rsidP="00F63457">
      <w:pPr>
        <w:rPr>
          <w:i/>
          <w:iCs/>
        </w:rPr>
      </w:pPr>
    </w:p>
    <w:p w14:paraId="2D8AF7C6" w14:textId="77777777" w:rsidR="009C6CDE" w:rsidRDefault="009C6CDE" w:rsidP="009C6CDE">
      <w:pPr>
        <w:rPr>
          <w:b/>
          <w:bCs/>
        </w:rPr>
      </w:pPr>
      <w:r w:rsidRPr="00E2211E">
        <w:rPr>
          <w:b/>
          <w:bCs/>
        </w:rPr>
        <w:lastRenderedPageBreak/>
        <w:t xml:space="preserve">Annexe – </w:t>
      </w:r>
    </w:p>
    <w:p w14:paraId="5576F697" w14:textId="61FC77C0" w:rsidR="009C6CDE" w:rsidRPr="00E2211E" w:rsidRDefault="009C6CDE" w:rsidP="009C6CDE">
      <w:r w:rsidRPr="00E2211E">
        <w:rPr>
          <w:b/>
          <w:bCs/>
        </w:rPr>
        <w:t>Principes de base de tenue d’un Compte Carbone Produit par une Comptabilité Carbone Cumulative</w:t>
      </w:r>
      <w:r>
        <w:rPr>
          <w:b/>
          <w:bCs/>
        </w:rPr>
        <w:t>***</w:t>
      </w:r>
    </w:p>
    <w:p w14:paraId="4FDED8B2" w14:textId="77777777" w:rsidR="009C6CDE" w:rsidRPr="00E2211E" w:rsidRDefault="009C6CDE" w:rsidP="009C6CDE">
      <w:r w:rsidRPr="00E2211E">
        <w:t>L’entreprise tient au moins un compte carbone produit par activité significative </w:t>
      </w:r>
      <w:r w:rsidRPr="00E2211E">
        <w:rPr>
          <w:i/>
          <w:iCs/>
        </w:rPr>
        <w:t>(entendue en Europe au sens de la Nomenclature des Activités NACE 63</w:t>
      </w:r>
      <w:r w:rsidRPr="00E2211E">
        <w:t>). Si l’entreprise tient plusieurs comptes, elle utilise les mêmes périmètres de comptes analytiques pour le calcul du prix de revient et du Contenu Carbone du Produit.</w:t>
      </w:r>
    </w:p>
    <w:p w14:paraId="332BF656" w14:textId="77777777" w:rsidR="009C6CDE" w:rsidRPr="00E2211E" w:rsidRDefault="009C6CDE" w:rsidP="009C6CDE">
      <w:r w:rsidRPr="00E2211E">
        <w:t>Toutes les factures du Grand livre sont prises en compte en respectant leur affectation comptable par exercice.</w:t>
      </w:r>
    </w:p>
    <w:p w14:paraId="38961AA2" w14:textId="7BC8BB12" w:rsidR="009C6CDE" w:rsidRPr="00E2211E" w:rsidRDefault="009C6CDE" w:rsidP="009C6CDE">
      <w:r w:rsidRPr="00E2211E">
        <w:t>Le Compte Carbone Produit recense (en partie simple) le carbone de production de l’exercice (1) et le carbone de vente (2). L</w:t>
      </w:r>
      <w:r>
        <w:t>’entreprise vise l’équilibre entre (1) et (2) et reporte l</w:t>
      </w:r>
      <w:r w:rsidRPr="00E2211E">
        <w:t xml:space="preserve">’écart </w:t>
      </w:r>
      <w:r>
        <w:t xml:space="preserve">dans </w:t>
      </w:r>
      <w:r w:rsidRPr="00E2211E">
        <w:t>le carbone de production de l’exercice suivant.</w:t>
      </w:r>
    </w:p>
    <w:p w14:paraId="71888713" w14:textId="7CBBF48A" w:rsidR="009C6CDE" w:rsidRPr="00E2211E" w:rsidRDefault="009C6CDE" w:rsidP="009C6CDE">
      <w:r w:rsidRPr="00E2211E">
        <w:t>L’entreprise tient ces comptes à disposition d’un tiers de confiance éventuellement désigné par une autorité publique, avec la liste des écarts éventuels</w:t>
      </w:r>
      <w:r w:rsidRPr="004D3ACB">
        <w:t xml:space="preserve"> </w:t>
      </w:r>
      <w:r>
        <w:t xml:space="preserve">aux </w:t>
      </w:r>
      <w:r w:rsidRPr="00E2211E">
        <w:t>principes</w:t>
      </w:r>
      <w:r>
        <w:t xml:space="preserve"> et leur </w:t>
      </w:r>
      <w:r w:rsidRPr="00E2211E">
        <w:t>justifi</w:t>
      </w:r>
      <w:r>
        <w:t>cation</w:t>
      </w:r>
      <w:r w:rsidRPr="00E2211E">
        <w:t>.</w:t>
      </w:r>
    </w:p>
    <w:p w14:paraId="1DB2D605" w14:textId="77777777" w:rsidR="009C6CDE" w:rsidRPr="00E2211E" w:rsidRDefault="009C6CDE" w:rsidP="009C6CDE">
      <w:r w:rsidRPr="00E2211E">
        <w:rPr>
          <w:b/>
          <w:bCs/>
        </w:rPr>
        <w:t>1- Le carbone de production de l’exercice</w:t>
      </w:r>
    </w:p>
    <w:p w14:paraId="70C949DE" w14:textId="77777777" w:rsidR="009C6CDE" w:rsidRPr="00E2211E" w:rsidRDefault="009C6CDE" w:rsidP="009C6CDE">
      <w:r w:rsidRPr="00E2211E">
        <w:t>11- Les émissions et captures directes de l’activité</w:t>
      </w:r>
    </w:p>
    <w:p w14:paraId="7523B17F" w14:textId="77777777" w:rsidR="009C6CDE" w:rsidRPr="00E2211E" w:rsidRDefault="009C6CDE" w:rsidP="009C6CDE">
      <w:r w:rsidRPr="00E2211E">
        <w:t>Le calcul suit les règles (dites Scope 1) d’un protocole carbone (GHG Protocol, Bilan Carbone ou équivalent) à l’exclusion des émissions directes de combustion précomptées avec le Contenu Carbone Produit des achats de carburant.</w:t>
      </w:r>
    </w:p>
    <w:p w14:paraId="755D4C0C" w14:textId="77777777" w:rsidR="009C6CDE" w:rsidRPr="00E2211E" w:rsidRDefault="009C6CDE" w:rsidP="009C6CDE">
      <w:r w:rsidRPr="00E2211E">
        <w:t>12- Les Contenus Carbone Produit des biens ou services achetés</w:t>
      </w:r>
    </w:p>
    <w:p w14:paraId="173B4C64" w14:textId="77777777" w:rsidR="009C6CDE" w:rsidRPr="00E2211E" w:rsidRDefault="009C6CDE" w:rsidP="009C6CDE">
      <w:r w:rsidRPr="00E2211E">
        <w:t>C’est celui indiqué par le fournisseur signataire d’une déclaration équivalente.</w:t>
      </w:r>
    </w:p>
    <w:p w14:paraId="58EE5EAF" w14:textId="77777777" w:rsidR="009C6CDE" w:rsidRPr="00E2211E" w:rsidRDefault="009C6CDE" w:rsidP="009C6CDE">
      <w:r w:rsidRPr="00E2211E">
        <w:t>A défaut, il est estimé sur la base de la quantité indiquée sur la facture entrante multipliée par un Facteur d’émission (ou Contenu Carbone Produit unitaire) d’une source publique pour l’activité correspondant au bien ou service, augmenté d’une marge de prudence.</w:t>
      </w:r>
    </w:p>
    <w:p w14:paraId="4BB34EEB" w14:textId="77777777" w:rsidR="009C6CDE" w:rsidRPr="00E2211E" w:rsidRDefault="009C6CDE" w:rsidP="009C6CDE">
      <w:r w:rsidRPr="00E2211E">
        <w:t>– La ‘marge de prudence’ recommandée est de 20%.</w:t>
      </w:r>
    </w:p>
    <w:p w14:paraId="38E76410" w14:textId="4F66F21D" w:rsidR="009C6CDE" w:rsidRPr="00E2211E" w:rsidRDefault="009C6CDE" w:rsidP="009C6CDE">
      <w:r w:rsidRPr="00E2211E">
        <w:t>– ‘Source publique’ se réfère aux Matrices carbone Entrée-Sortie produites à l’initiative des Nations Unies (exemple : Comptes carbone INSEE) et aux bases publiques de Facteurs d’émission (exemple : ADEME). La nomenclature des Matrices peut être affinée ou (pour les comptes tenus par de petites organisations) simplifiée</w:t>
      </w:r>
      <w:r>
        <w:t xml:space="preserve">, </w:t>
      </w:r>
      <w:r w:rsidRPr="00E2211E">
        <w:t>avec justification.</w:t>
      </w:r>
    </w:p>
    <w:p w14:paraId="1FF699B9" w14:textId="77777777" w:rsidR="009C6CDE" w:rsidRPr="00E2211E" w:rsidRDefault="009C6CDE" w:rsidP="009C6CDE">
      <w:r w:rsidRPr="00E2211E">
        <w:rPr>
          <w:b/>
          <w:bCs/>
        </w:rPr>
        <w:t>2- Le carbone de vente de l’exercice</w:t>
      </w:r>
    </w:p>
    <w:p w14:paraId="527414DD" w14:textId="5DC9AEB1" w:rsidR="009C6CDE" w:rsidRPr="00E2211E" w:rsidRDefault="009C6CDE" w:rsidP="009C6CDE">
      <w:r w:rsidRPr="00E2211E">
        <w:t>C’est la somme des Contenus Carbone Produit transmis sur les factures de vente de l’exercice (objet de la déclaration). L</w:t>
      </w:r>
      <w:r w:rsidR="002335CB">
        <w:t xml:space="preserve">e CCP </w:t>
      </w:r>
      <w:r w:rsidRPr="00E2211E">
        <w:t>transmis est le montant de la facture multiplié par le Facteur d’émission monétaire du dernier Compte Carbone Produit clôturé correspondant : son Carbone de production divisé par le chiffre d’affaires de l’activité.</w:t>
      </w:r>
    </w:p>
    <w:p w14:paraId="4A514723" w14:textId="6E3E39E1" w:rsidR="009C6CDE" w:rsidRPr="00E2211E" w:rsidRDefault="009C6CDE" w:rsidP="009C6CDE">
      <w:r w:rsidRPr="00E2211E">
        <w:t>– Ce Facteur d’émission monétaire peut être remplacé par un Facteur physique si le Compte carbone est tenu dans cette unité et que la quantité figure sur les factures de l’activité.</w:t>
      </w:r>
    </w:p>
    <w:p w14:paraId="4F61EE93" w14:textId="6C35F393" w:rsidR="0075132D" w:rsidRPr="00E2211E" w:rsidRDefault="009C6CDE" w:rsidP="00E2211E">
      <w:r w:rsidRPr="00E2211E">
        <w:t>– L’entreprise peut choisir un Facteur d’émission estimé si elle considère qu’il réduira l’écart en fin d’exercice entre Carbone de production et Carbone de vente.</w:t>
      </w:r>
    </w:p>
    <w:sectPr w:rsidR="0075132D" w:rsidRPr="00E22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D6EED"/>
    <w:multiLevelType w:val="hybridMultilevel"/>
    <w:tmpl w:val="C78E1F28"/>
    <w:lvl w:ilvl="0" w:tplc="BFAA88AC">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477616"/>
    <w:multiLevelType w:val="hybridMultilevel"/>
    <w:tmpl w:val="CE1C921C"/>
    <w:lvl w:ilvl="0" w:tplc="D416E0C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CE588F"/>
    <w:multiLevelType w:val="hybridMultilevel"/>
    <w:tmpl w:val="ADFADEBC"/>
    <w:lvl w:ilvl="0" w:tplc="FCB42FA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15329864">
    <w:abstractNumId w:val="1"/>
  </w:num>
  <w:num w:numId="2" w16cid:durableId="2138796221">
    <w:abstractNumId w:val="0"/>
  </w:num>
  <w:num w:numId="3" w16cid:durableId="44381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AF"/>
    <w:rsid w:val="000D03AF"/>
    <w:rsid w:val="0010733D"/>
    <w:rsid w:val="001F42BA"/>
    <w:rsid w:val="002335CB"/>
    <w:rsid w:val="003124CE"/>
    <w:rsid w:val="004D0DC2"/>
    <w:rsid w:val="004D3ACB"/>
    <w:rsid w:val="0075132D"/>
    <w:rsid w:val="007D44D8"/>
    <w:rsid w:val="00874C95"/>
    <w:rsid w:val="009C6CDE"/>
    <w:rsid w:val="00E2211E"/>
    <w:rsid w:val="00EE0983"/>
    <w:rsid w:val="00F634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3644"/>
  <w15:chartTrackingRefBased/>
  <w15:docId w15:val="{8E7B54E3-9523-438E-A2D8-F33BC145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0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D0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D03A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D03A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D03A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D03A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D03A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D03A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D03A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03A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D03A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D03A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D03A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D03A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D03A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D03A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D03A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D03AF"/>
    <w:rPr>
      <w:rFonts w:eastAsiaTheme="majorEastAsia" w:cstheme="majorBidi"/>
      <w:color w:val="272727" w:themeColor="text1" w:themeTint="D8"/>
    </w:rPr>
  </w:style>
  <w:style w:type="paragraph" w:styleId="Titre">
    <w:name w:val="Title"/>
    <w:basedOn w:val="Normal"/>
    <w:next w:val="Normal"/>
    <w:link w:val="TitreCar"/>
    <w:uiPriority w:val="10"/>
    <w:qFormat/>
    <w:rsid w:val="000D0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03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03A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D03A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D03AF"/>
    <w:pPr>
      <w:spacing w:before="160"/>
      <w:jc w:val="center"/>
    </w:pPr>
    <w:rPr>
      <w:i/>
      <w:iCs/>
      <w:color w:val="404040" w:themeColor="text1" w:themeTint="BF"/>
    </w:rPr>
  </w:style>
  <w:style w:type="character" w:customStyle="1" w:styleId="CitationCar">
    <w:name w:val="Citation Car"/>
    <w:basedOn w:val="Policepardfaut"/>
    <w:link w:val="Citation"/>
    <w:uiPriority w:val="29"/>
    <w:rsid w:val="000D03AF"/>
    <w:rPr>
      <w:i/>
      <w:iCs/>
      <w:color w:val="404040" w:themeColor="text1" w:themeTint="BF"/>
    </w:rPr>
  </w:style>
  <w:style w:type="paragraph" w:styleId="Paragraphedeliste">
    <w:name w:val="List Paragraph"/>
    <w:basedOn w:val="Normal"/>
    <w:uiPriority w:val="34"/>
    <w:qFormat/>
    <w:rsid w:val="000D03AF"/>
    <w:pPr>
      <w:ind w:left="720"/>
      <w:contextualSpacing/>
    </w:pPr>
  </w:style>
  <w:style w:type="character" w:styleId="Accentuationintense">
    <w:name w:val="Intense Emphasis"/>
    <w:basedOn w:val="Policepardfaut"/>
    <w:uiPriority w:val="21"/>
    <w:qFormat/>
    <w:rsid w:val="000D03AF"/>
    <w:rPr>
      <w:i/>
      <w:iCs/>
      <w:color w:val="0F4761" w:themeColor="accent1" w:themeShade="BF"/>
    </w:rPr>
  </w:style>
  <w:style w:type="paragraph" w:styleId="Citationintense">
    <w:name w:val="Intense Quote"/>
    <w:basedOn w:val="Normal"/>
    <w:next w:val="Normal"/>
    <w:link w:val="CitationintenseCar"/>
    <w:uiPriority w:val="30"/>
    <w:qFormat/>
    <w:rsid w:val="000D0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D03AF"/>
    <w:rPr>
      <w:i/>
      <w:iCs/>
      <w:color w:val="0F4761" w:themeColor="accent1" w:themeShade="BF"/>
    </w:rPr>
  </w:style>
  <w:style w:type="character" w:styleId="Rfrenceintense">
    <w:name w:val="Intense Reference"/>
    <w:basedOn w:val="Policepardfaut"/>
    <w:uiPriority w:val="32"/>
    <w:qFormat/>
    <w:rsid w:val="000D03AF"/>
    <w:rPr>
      <w:b/>
      <w:bCs/>
      <w:smallCaps/>
      <w:color w:val="0F4761" w:themeColor="accent1" w:themeShade="BF"/>
      <w:spacing w:val="5"/>
    </w:rPr>
  </w:style>
  <w:style w:type="character" w:styleId="Lienhypertexte">
    <w:name w:val="Hyperlink"/>
    <w:basedOn w:val="Policepardfaut"/>
    <w:uiPriority w:val="99"/>
    <w:unhideWhenUsed/>
    <w:rsid w:val="000D03AF"/>
    <w:rPr>
      <w:color w:val="467886" w:themeColor="hyperlink"/>
      <w:u w:val="single"/>
    </w:rPr>
  </w:style>
  <w:style w:type="character" w:styleId="Mentionnonrsolue">
    <w:name w:val="Unresolved Mention"/>
    <w:basedOn w:val="Policepardfaut"/>
    <w:uiPriority w:val="99"/>
    <w:semiHidden/>
    <w:unhideWhenUsed/>
    <w:rsid w:val="000D03AF"/>
    <w:rPr>
      <w:color w:val="605E5C"/>
      <w:shd w:val="clear" w:color="auto" w:fill="E1DFDD"/>
    </w:rPr>
  </w:style>
  <w:style w:type="paragraph" w:styleId="NormalWeb">
    <w:name w:val="Normal (Web)"/>
    <w:basedOn w:val="Normal"/>
    <w:uiPriority w:val="99"/>
    <w:semiHidden/>
    <w:unhideWhenUsed/>
    <w:rsid w:val="00F634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067925">
      <w:bodyDiv w:val="1"/>
      <w:marLeft w:val="0"/>
      <w:marRight w:val="0"/>
      <w:marTop w:val="0"/>
      <w:marBottom w:val="0"/>
      <w:divBdr>
        <w:top w:val="none" w:sz="0" w:space="0" w:color="auto"/>
        <w:left w:val="none" w:sz="0" w:space="0" w:color="auto"/>
        <w:bottom w:val="none" w:sz="0" w:space="0" w:color="auto"/>
        <w:right w:val="none" w:sz="0" w:space="0" w:color="auto"/>
      </w:divBdr>
      <w:divsChild>
        <w:div w:id="2094356386">
          <w:marLeft w:val="0"/>
          <w:marRight w:val="0"/>
          <w:marTop w:val="0"/>
          <w:marBottom w:val="0"/>
          <w:divBdr>
            <w:top w:val="none" w:sz="0" w:space="0" w:color="auto"/>
            <w:left w:val="none" w:sz="0" w:space="0" w:color="auto"/>
            <w:bottom w:val="none" w:sz="0" w:space="0" w:color="auto"/>
            <w:right w:val="none" w:sz="0" w:space="0" w:color="auto"/>
          </w:divBdr>
          <w:divsChild>
            <w:div w:id="1193618275">
              <w:marLeft w:val="0"/>
              <w:marRight w:val="0"/>
              <w:marTop w:val="100"/>
              <w:marBottom w:val="100"/>
              <w:divBdr>
                <w:top w:val="none" w:sz="0" w:space="0" w:color="auto"/>
                <w:left w:val="none" w:sz="0" w:space="0" w:color="auto"/>
                <w:bottom w:val="none" w:sz="0" w:space="0" w:color="auto"/>
                <w:right w:val="none" w:sz="0" w:space="0" w:color="auto"/>
              </w:divBdr>
              <w:divsChild>
                <w:div w:id="1869488772">
                  <w:marLeft w:val="0"/>
                  <w:marRight w:val="0"/>
                  <w:marTop w:val="0"/>
                  <w:marBottom w:val="0"/>
                  <w:divBdr>
                    <w:top w:val="none" w:sz="0" w:space="0" w:color="auto"/>
                    <w:left w:val="none" w:sz="0" w:space="0" w:color="auto"/>
                    <w:bottom w:val="none" w:sz="0" w:space="0" w:color="auto"/>
                    <w:right w:val="none" w:sz="0" w:space="0" w:color="auto"/>
                  </w:divBdr>
                  <w:divsChild>
                    <w:div w:id="5918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66290">
              <w:marLeft w:val="0"/>
              <w:marRight w:val="0"/>
              <w:marTop w:val="75"/>
              <w:marBottom w:val="100"/>
              <w:divBdr>
                <w:top w:val="none" w:sz="0" w:space="0" w:color="auto"/>
                <w:left w:val="none" w:sz="0" w:space="0" w:color="auto"/>
                <w:bottom w:val="none" w:sz="0" w:space="0" w:color="auto"/>
                <w:right w:val="none" w:sz="0" w:space="0" w:color="auto"/>
              </w:divBdr>
              <w:divsChild>
                <w:div w:id="4773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93704">
          <w:marLeft w:val="0"/>
          <w:marRight w:val="0"/>
          <w:marTop w:val="0"/>
          <w:marBottom w:val="0"/>
          <w:divBdr>
            <w:top w:val="none" w:sz="0" w:space="0" w:color="auto"/>
            <w:left w:val="none" w:sz="0" w:space="0" w:color="auto"/>
            <w:bottom w:val="none" w:sz="0" w:space="0" w:color="auto"/>
            <w:right w:val="none" w:sz="0" w:space="0" w:color="auto"/>
          </w:divBdr>
          <w:divsChild>
            <w:div w:id="305814687">
              <w:marLeft w:val="0"/>
              <w:marRight w:val="0"/>
              <w:marTop w:val="100"/>
              <w:marBottom w:val="100"/>
              <w:divBdr>
                <w:top w:val="none" w:sz="0" w:space="0" w:color="auto"/>
                <w:left w:val="none" w:sz="0" w:space="0" w:color="auto"/>
                <w:bottom w:val="none" w:sz="0" w:space="0" w:color="auto"/>
                <w:right w:val="none" w:sz="0" w:space="0" w:color="auto"/>
              </w:divBdr>
              <w:divsChild>
                <w:div w:id="51858114">
                  <w:marLeft w:val="0"/>
                  <w:marRight w:val="0"/>
                  <w:marTop w:val="0"/>
                  <w:marBottom w:val="0"/>
                  <w:divBdr>
                    <w:top w:val="none" w:sz="0" w:space="0" w:color="auto"/>
                    <w:left w:val="none" w:sz="0" w:space="0" w:color="auto"/>
                    <w:bottom w:val="none" w:sz="0" w:space="0" w:color="auto"/>
                    <w:right w:val="none" w:sz="0" w:space="0" w:color="auto"/>
                  </w:divBdr>
                  <w:divsChild>
                    <w:div w:id="20716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82640">
      <w:bodyDiv w:val="1"/>
      <w:marLeft w:val="0"/>
      <w:marRight w:val="0"/>
      <w:marTop w:val="0"/>
      <w:marBottom w:val="0"/>
      <w:divBdr>
        <w:top w:val="none" w:sz="0" w:space="0" w:color="auto"/>
        <w:left w:val="none" w:sz="0" w:space="0" w:color="auto"/>
        <w:bottom w:val="none" w:sz="0" w:space="0" w:color="auto"/>
        <w:right w:val="none" w:sz="0" w:space="0" w:color="auto"/>
      </w:divBdr>
    </w:div>
    <w:div w:id="637760513">
      <w:bodyDiv w:val="1"/>
      <w:marLeft w:val="0"/>
      <w:marRight w:val="0"/>
      <w:marTop w:val="0"/>
      <w:marBottom w:val="0"/>
      <w:divBdr>
        <w:top w:val="none" w:sz="0" w:space="0" w:color="auto"/>
        <w:left w:val="none" w:sz="0" w:space="0" w:color="auto"/>
        <w:bottom w:val="none" w:sz="0" w:space="0" w:color="auto"/>
        <w:right w:val="none" w:sz="0" w:space="0" w:color="auto"/>
      </w:divBdr>
    </w:div>
    <w:div w:id="813184218">
      <w:bodyDiv w:val="1"/>
      <w:marLeft w:val="0"/>
      <w:marRight w:val="0"/>
      <w:marTop w:val="0"/>
      <w:marBottom w:val="0"/>
      <w:divBdr>
        <w:top w:val="none" w:sz="0" w:space="0" w:color="auto"/>
        <w:left w:val="none" w:sz="0" w:space="0" w:color="auto"/>
        <w:bottom w:val="none" w:sz="0" w:space="0" w:color="auto"/>
        <w:right w:val="none" w:sz="0" w:space="0" w:color="auto"/>
      </w:divBdr>
    </w:div>
    <w:div w:id="1363818937">
      <w:bodyDiv w:val="1"/>
      <w:marLeft w:val="0"/>
      <w:marRight w:val="0"/>
      <w:marTop w:val="0"/>
      <w:marBottom w:val="0"/>
      <w:divBdr>
        <w:top w:val="none" w:sz="0" w:space="0" w:color="auto"/>
        <w:left w:val="none" w:sz="0" w:space="0" w:color="auto"/>
        <w:bottom w:val="none" w:sz="0" w:space="0" w:color="auto"/>
        <w:right w:val="none" w:sz="0" w:space="0" w:color="auto"/>
      </w:divBdr>
      <w:divsChild>
        <w:div w:id="1903060944">
          <w:marLeft w:val="0"/>
          <w:marRight w:val="0"/>
          <w:marTop w:val="0"/>
          <w:marBottom w:val="0"/>
          <w:divBdr>
            <w:top w:val="none" w:sz="0" w:space="0" w:color="auto"/>
            <w:left w:val="none" w:sz="0" w:space="0" w:color="auto"/>
            <w:bottom w:val="none" w:sz="0" w:space="0" w:color="auto"/>
            <w:right w:val="none" w:sz="0" w:space="0" w:color="auto"/>
          </w:divBdr>
          <w:divsChild>
            <w:div w:id="912356255">
              <w:marLeft w:val="0"/>
              <w:marRight w:val="0"/>
              <w:marTop w:val="100"/>
              <w:marBottom w:val="100"/>
              <w:divBdr>
                <w:top w:val="none" w:sz="0" w:space="0" w:color="auto"/>
                <w:left w:val="none" w:sz="0" w:space="0" w:color="auto"/>
                <w:bottom w:val="none" w:sz="0" w:space="0" w:color="auto"/>
                <w:right w:val="none" w:sz="0" w:space="0" w:color="auto"/>
              </w:divBdr>
              <w:divsChild>
                <w:div w:id="447818946">
                  <w:marLeft w:val="0"/>
                  <w:marRight w:val="0"/>
                  <w:marTop w:val="0"/>
                  <w:marBottom w:val="0"/>
                  <w:divBdr>
                    <w:top w:val="none" w:sz="0" w:space="0" w:color="auto"/>
                    <w:left w:val="none" w:sz="0" w:space="0" w:color="auto"/>
                    <w:bottom w:val="none" w:sz="0" w:space="0" w:color="auto"/>
                    <w:right w:val="none" w:sz="0" w:space="0" w:color="auto"/>
                  </w:divBdr>
                  <w:divsChild>
                    <w:div w:id="21224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7879">
              <w:marLeft w:val="0"/>
              <w:marRight w:val="0"/>
              <w:marTop w:val="75"/>
              <w:marBottom w:val="100"/>
              <w:divBdr>
                <w:top w:val="none" w:sz="0" w:space="0" w:color="auto"/>
                <w:left w:val="none" w:sz="0" w:space="0" w:color="auto"/>
                <w:bottom w:val="none" w:sz="0" w:space="0" w:color="auto"/>
                <w:right w:val="none" w:sz="0" w:space="0" w:color="auto"/>
              </w:divBdr>
              <w:divsChild>
                <w:div w:id="979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7712">
          <w:marLeft w:val="0"/>
          <w:marRight w:val="0"/>
          <w:marTop w:val="0"/>
          <w:marBottom w:val="0"/>
          <w:divBdr>
            <w:top w:val="none" w:sz="0" w:space="0" w:color="auto"/>
            <w:left w:val="none" w:sz="0" w:space="0" w:color="auto"/>
            <w:bottom w:val="none" w:sz="0" w:space="0" w:color="auto"/>
            <w:right w:val="none" w:sz="0" w:space="0" w:color="auto"/>
          </w:divBdr>
          <w:divsChild>
            <w:div w:id="2093552076">
              <w:marLeft w:val="0"/>
              <w:marRight w:val="0"/>
              <w:marTop w:val="100"/>
              <w:marBottom w:val="100"/>
              <w:divBdr>
                <w:top w:val="none" w:sz="0" w:space="0" w:color="auto"/>
                <w:left w:val="none" w:sz="0" w:space="0" w:color="auto"/>
                <w:bottom w:val="none" w:sz="0" w:space="0" w:color="auto"/>
                <w:right w:val="none" w:sz="0" w:space="0" w:color="auto"/>
              </w:divBdr>
              <w:divsChild>
                <w:div w:id="1888833008">
                  <w:marLeft w:val="0"/>
                  <w:marRight w:val="0"/>
                  <w:marTop w:val="0"/>
                  <w:marBottom w:val="0"/>
                  <w:divBdr>
                    <w:top w:val="none" w:sz="0" w:space="0" w:color="auto"/>
                    <w:left w:val="none" w:sz="0" w:space="0" w:color="auto"/>
                    <w:bottom w:val="none" w:sz="0" w:space="0" w:color="auto"/>
                    <w:right w:val="none" w:sz="0" w:space="0" w:color="auto"/>
                  </w:divBdr>
                  <w:divsChild>
                    <w:div w:id="11832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4536">
      <w:bodyDiv w:val="1"/>
      <w:marLeft w:val="0"/>
      <w:marRight w:val="0"/>
      <w:marTop w:val="0"/>
      <w:marBottom w:val="0"/>
      <w:divBdr>
        <w:top w:val="none" w:sz="0" w:space="0" w:color="auto"/>
        <w:left w:val="none" w:sz="0" w:space="0" w:color="auto"/>
        <w:bottom w:val="none" w:sz="0" w:space="0" w:color="auto"/>
        <w:right w:val="none" w:sz="0" w:space="0" w:color="auto"/>
      </w:divBdr>
    </w:div>
    <w:div w:id="1714646857">
      <w:bodyDiv w:val="1"/>
      <w:marLeft w:val="0"/>
      <w:marRight w:val="0"/>
      <w:marTop w:val="0"/>
      <w:marBottom w:val="0"/>
      <w:divBdr>
        <w:top w:val="none" w:sz="0" w:space="0" w:color="auto"/>
        <w:left w:val="none" w:sz="0" w:space="0" w:color="auto"/>
        <w:bottom w:val="none" w:sz="0" w:space="0" w:color="auto"/>
        <w:right w:val="none" w:sz="0" w:space="0" w:color="auto"/>
      </w:divBdr>
      <w:divsChild>
        <w:div w:id="2112700873">
          <w:marLeft w:val="0"/>
          <w:marRight w:val="0"/>
          <w:marTop w:val="0"/>
          <w:marBottom w:val="0"/>
          <w:divBdr>
            <w:top w:val="none" w:sz="0" w:space="0" w:color="auto"/>
            <w:left w:val="none" w:sz="0" w:space="0" w:color="auto"/>
            <w:bottom w:val="none" w:sz="0" w:space="0" w:color="auto"/>
            <w:right w:val="none" w:sz="0" w:space="0" w:color="auto"/>
          </w:divBdr>
          <w:divsChild>
            <w:div w:id="480654560">
              <w:marLeft w:val="0"/>
              <w:marRight w:val="0"/>
              <w:marTop w:val="100"/>
              <w:marBottom w:val="100"/>
              <w:divBdr>
                <w:top w:val="none" w:sz="0" w:space="0" w:color="auto"/>
                <w:left w:val="none" w:sz="0" w:space="0" w:color="auto"/>
                <w:bottom w:val="none" w:sz="0" w:space="0" w:color="auto"/>
                <w:right w:val="none" w:sz="0" w:space="0" w:color="auto"/>
              </w:divBdr>
              <w:divsChild>
                <w:div w:id="1904633363">
                  <w:marLeft w:val="0"/>
                  <w:marRight w:val="0"/>
                  <w:marTop w:val="0"/>
                  <w:marBottom w:val="0"/>
                  <w:divBdr>
                    <w:top w:val="none" w:sz="0" w:space="0" w:color="auto"/>
                    <w:left w:val="none" w:sz="0" w:space="0" w:color="auto"/>
                    <w:bottom w:val="none" w:sz="0" w:space="0" w:color="auto"/>
                    <w:right w:val="none" w:sz="0" w:space="0" w:color="auto"/>
                  </w:divBdr>
                  <w:divsChild>
                    <w:div w:id="2105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02">
              <w:marLeft w:val="0"/>
              <w:marRight w:val="0"/>
              <w:marTop w:val="75"/>
              <w:marBottom w:val="100"/>
              <w:divBdr>
                <w:top w:val="none" w:sz="0" w:space="0" w:color="auto"/>
                <w:left w:val="none" w:sz="0" w:space="0" w:color="auto"/>
                <w:bottom w:val="none" w:sz="0" w:space="0" w:color="auto"/>
                <w:right w:val="none" w:sz="0" w:space="0" w:color="auto"/>
              </w:divBdr>
              <w:divsChild>
                <w:div w:id="21351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4740">
          <w:marLeft w:val="0"/>
          <w:marRight w:val="0"/>
          <w:marTop w:val="0"/>
          <w:marBottom w:val="0"/>
          <w:divBdr>
            <w:top w:val="none" w:sz="0" w:space="0" w:color="auto"/>
            <w:left w:val="none" w:sz="0" w:space="0" w:color="auto"/>
            <w:bottom w:val="none" w:sz="0" w:space="0" w:color="auto"/>
            <w:right w:val="none" w:sz="0" w:space="0" w:color="auto"/>
          </w:divBdr>
          <w:divsChild>
            <w:div w:id="271211868">
              <w:marLeft w:val="0"/>
              <w:marRight w:val="0"/>
              <w:marTop w:val="100"/>
              <w:marBottom w:val="100"/>
              <w:divBdr>
                <w:top w:val="none" w:sz="0" w:space="0" w:color="auto"/>
                <w:left w:val="none" w:sz="0" w:space="0" w:color="auto"/>
                <w:bottom w:val="none" w:sz="0" w:space="0" w:color="auto"/>
                <w:right w:val="none" w:sz="0" w:space="0" w:color="auto"/>
              </w:divBdr>
              <w:divsChild>
                <w:div w:id="524363162">
                  <w:marLeft w:val="0"/>
                  <w:marRight w:val="0"/>
                  <w:marTop w:val="0"/>
                  <w:marBottom w:val="0"/>
                  <w:divBdr>
                    <w:top w:val="none" w:sz="0" w:space="0" w:color="auto"/>
                    <w:left w:val="none" w:sz="0" w:space="0" w:color="auto"/>
                    <w:bottom w:val="none" w:sz="0" w:space="0" w:color="auto"/>
                    <w:right w:val="none" w:sz="0" w:space="0" w:color="auto"/>
                  </w:divBdr>
                  <w:divsChild>
                    <w:div w:id="11673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65527">
      <w:bodyDiv w:val="1"/>
      <w:marLeft w:val="0"/>
      <w:marRight w:val="0"/>
      <w:marTop w:val="0"/>
      <w:marBottom w:val="0"/>
      <w:divBdr>
        <w:top w:val="none" w:sz="0" w:space="0" w:color="auto"/>
        <w:left w:val="none" w:sz="0" w:space="0" w:color="auto"/>
        <w:bottom w:val="none" w:sz="0" w:space="0" w:color="auto"/>
        <w:right w:val="none" w:sz="0" w:space="0" w:color="auto"/>
      </w:divBdr>
    </w:div>
    <w:div w:id="2075547819">
      <w:bodyDiv w:val="1"/>
      <w:marLeft w:val="0"/>
      <w:marRight w:val="0"/>
      <w:marTop w:val="0"/>
      <w:marBottom w:val="0"/>
      <w:divBdr>
        <w:top w:val="none" w:sz="0" w:space="0" w:color="auto"/>
        <w:left w:val="none" w:sz="0" w:space="0" w:color="auto"/>
        <w:bottom w:val="none" w:sz="0" w:space="0" w:color="auto"/>
        <w:right w:val="none" w:sz="0" w:space="0" w:color="auto"/>
      </w:divBdr>
      <w:divsChild>
        <w:div w:id="1277060800">
          <w:marLeft w:val="0"/>
          <w:marRight w:val="0"/>
          <w:marTop w:val="0"/>
          <w:marBottom w:val="0"/>
          <w:divBdr>
            <w:top w:val="none" w:sz="0" w:space="0" w:color="auto"/>
            <w:left w:val="none" w:sz="0" w:space="0" w:color="auto"/>
            <w:bottom w:val="none" w:sz="0" w:space="0" w:color="auto"/>
            <w:right w:val="none" w:sz="0" w:space="0" w:color="auto"/>
          </w:divBdr>
          <w:divsChild>
            <w:div w:id="1876192821">
              <w:marLeft w:val="0"/>
              <w:marRight w:val="0"/>
              <w:marTop w:val="100"/>
              <w:marBottom w:val="100"/>
              <w:divBdr>
                <w:top w:val="none" w:sz="0" w:space="0" w:color="auto"/>
                <w:left w:val="none" w:sz="0" w:space="0" w:color="auto"/>
                <w:bottom w:val="none" w:sz="0" w:space="0" w:color="auto"/>
                <w:right w:val="none" w:sz="0" w:space="0" w:color="auto"/>
              </w:divBdr>
              <w:divsChild>
                <w:div w:id="908465543">
                  <w:marLeft w:val="0"/>
                  <w:marRight w:val="0"/>
                  <w:marTop w:val="0"/>
                  <w:marBottom w:val="0"/>
                  <w:divBdr>
                    <w:top w:val="none" w:sz="0" w:space="0" w:color="auto"/>
                    <w:left w:val="none" w:sz="0" w:space="0" w:color="auto"/>
                    <w:bottom w:val="none" w:sz="0" w:space="0" w:color="auto"/>
                    <w:right w:val="none" w:sz="0" w:space="0" w:color="auto"/>
                  </w:divBdr>
                  <w:divsChild>
                    <w:div w:id="8270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421">
              <w:marLeft w:val="0"/>
              <w:marRight w:val="0"/>
              <w:marTop w:val="75"/>
              <w:marBottom w:val="100"/>
              <w:divBdr>
                <w:top w:val="none" w:sz="0" w:space="0" w:color="auto"/>
                <w:left w:val="none" w:sz="0" w:space="0" w:color="auto"/>
                <w:bottom w:val="none" w:sz="0" w:space="0" w:color="auto"/>
                <w:right w:val="none" w:sz="0" w:space="0" w:color="auto"/>
              </w:divBdr>
              <w:divsChild>
                <w:div w:id="5556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3487">
          <w:marLeft w:val="0"/>
          <w:marRight w:val="0"/>
          <w:marTop w:val="0"/>
          <w:marBottom w:val="0"/>
          <w:divBdr>
            <w:top w:val="none" w:sz="0" w:space="0" w:color="auto"/>
            <w:left w:val="none" w:sz="0" w:space="0" w:color="auto"/>
            <w:bottom w:val="none" w:sz="0" w:space="0" w:color="auto"/>
            <w:right w:val="none" w:sz="0" w:space="0" w:color="auto"/>
          </w:divBdr>
          <w:divsChild>
            <w:div w:id="1702170200">
              <w:marLeft w:val="0"/>
              <w:marRight w:val="0"/>
              <w:marTop w:val="100"/>
              <w:marBottom w:val="100"/>
              <w:divBdr>
                <w:top w:val="none" w:sz="0" w:space="0" w:color="auto"/>
                <w:left w:val="none" w:sz="0" w:space="0" w:color="auto"/>
                <w:bottom w:val="none" w:sz="0" w:space="0" w:color="auto"/>
                <w:right w:val="none" w:sz="0" w:space="0" w:color="auto"/>
              </w:divBdr>
              <w:divsChild>
                <w:div w:id="520048078">
                  <w:marLeft w:val="0"/>
                  <w:marRight w:val="0"/>
                  <w:marTop w:val="0"/>
                  <w:marBottom w:val="0"/>
                  <w:divBdr>
                    <w:top w:val="none" w:sz="0" w:space="0" w:color="auto"/>
                    <w:left w:val="none" w:sz="0" w:space="0" w:color="auto"/>
                    <w:bottom w:val="none" w:sz="0" w:space="0" w:color="auto"/>
                    <w:right w:val="none" w:sz="0" w:space="0" w:color="auto"/>
                  </w:divBdr>
                  <w:divsChild>
                    <w:div w:id="19565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Vanwormhoudt</dc:creator>
  <cp:keywords/>
  <dc:description/>
  <cp:lastModifiedBy>jerome cazes</cp:lastModifiedBy>
  <cp:revision>3</cp:revision>
  <dcterms:created xsi:type="dcterms:W3CDTF">2025-09-05T14:38:00Z</dcterms:created>
  <dcterms:modified xsi:type="dcterms:W3CDTF">2025-09-05T14:38:00Z</dcterms:modified>
</cp:coreProperties>
</file>