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A9824" w14:textId="73452550" w:rsidR="0064297F" w:rsidRPr="004A7417" w:rsidRDefault="0064297F" w:rsidP="00252E68">
      <w:pPr>
        <w:ind w:left="708"/>
        <w:jc w:val="both"/>
        <w:rPr>
          <w:rFonts w:ascii="Calibri" w:hAnsi="Calibri" w:cs="Calibri"/>
        </w:rPr>
      </w:pPr>
      <w:bookmarkStart w:id="0" w:name="_Hlk173497933"/>
      <w:r w:rsidRPr="004A7417">
        <w:rPr>
          <w:rFonts w:ascii="Calibri" w:hAnsi="Calibri" w:cs="Calibri"/>
        </w:rPr>
        <w:t>(</w:t>
      </w:r>
      <w:r w:rsidR="00DF67A5">
        <w:rPr>
          <w:rFonts w:ascii="Calibri" w:hAnsi="Calibri" w:cs="Calibri"/>
        </w:rPr>
        <w:t>V</w:t>
      </w:r>
      <w:r w:rsidRPr="004A7417">
        <w:rPr>
          <w:rFonts w:ascii="Calibri" w:hAnsi="Calibri" w:cs="Calibri"/>
        </w:rPr>
        <w:t xml:space="preserve">ersion au </w:t>
      </w:r>
      <w:r w:rsidR="008827CD">
        <w:rPr>
          <w:rFonts w:ascii="Calibri" w:hAnsi="Calibri" w:cs="Calibri"/>
        </w:rPr>
        <w:t>2</w:t>
      </w:r>
      <w:r w:rsidR="00890837">
        <w:rPr>
          <w:rFonts w:ascii="Calibri" w:hAnsi="Calibri" w:cs="Calibri"/>
        </w:rPr>
        <w:t>4</w:t>
      </w:r>
      <w:r w:rsidRPr="004A7417">
        <w:rPr>
          <w:rFonts w:ascii="Calibri" w:hAnsi="Calibri" w:cs="Calibri"/>
        </w:rPr>
        <w:t>/</w:t>
      </w:r>
      <w:r w:rsidR="007D42F7" w:rsidRPr="004A7417">
        <w:rPr>
          <w:rFonts w:ascii="Calibri" w:hAnsi="Calibri" w:cs="Calibri"/>
        </w:rPr>
        <w:t>1</w:t>
      </w:r>
      <w:r w:rsidRPr="004A7417">
        <w:rPr>
          <w:rFonts w:ascii="Calibri" w:hAnsi="Calibri" w:cs="Calibri"/>
        </w:rPr>
        <w:t>/2</w:t>
      </w:r>
      <w:r w:rsidR="008827CD">
        <w:rPr>
          <w:rFonts w:ascii="Calibri" w:hAnsi="Calibri" w:cs="Calibri"/>
        </w:rPr>
        <w:t>5</w:t>
      </w:r>
      <w:r w:rsidRPr="004A7417">
        <w:rPr>
          <w:rFonts w:ascii="Calibri" w:hAnsi="Calibri" w:cs="Calibri"/>
        </w:rPr>
        <w:t>)</w:t>
      </w:r>
    </w:p>
    <w:p w14:paraId="342207AF" w14:textId="77777777" w:rsidR="0098515A" w:rsidRPr="004A7417" w:rsidRDefault="0098515A" w:rsidP="00252E68">
      <w:pPr>
        <w:ind w:left="708"/>
        <w:jc w:val="both"/>
        <w:rPr>
          <w:rFonts w:ascii="Calibri" w:hAnsi="Calibri" w:cs="Calibri"/>
        </w:rPr>
      </w:pPr>
    </w:p>
    <w:p w14:paraId="0CCC5121" w14:textId="77777777" w:rsidR="0098515A" w:rsidRPr="004A7417" w:rsidRDefault="0098515A" w:rsidP="00252E68">
      <w:pPr>
        <w:ind w:left="708"/>
        <w:jc w:val="both"/>
        <w:rPr>
          <w:rFonts w:ascii="Calibri" w:hAnsi="Calibri" w:cs="Calibri"/>
        </w:rPr>
      </w:pPr>
    </w:p>
    <w:p w14:paraId="2ABABF4F" w14:textId="4ABDBE41" w:rsidR="00D6174F" w:rsidRPr="004A7417" w:rsidRDefault="007F7838" w:rsidP="00252E68">
      <w:pPr>
        <w:spacing w:after="0"/>
        <w:jc w:val="both"/>
        <w:rPr>
          <w:rFonts w:ascii="Calibri" w:hAnsi="Calibri" w:cs="Calibri"/>
          <w:b/>
          <w:bCs/>
        </w:rPr>
      </w:pPr>
      <w:r w:rsidRPr="004A7417">
        <w:rPr>
          <w:rFonts w:ascii="Calibri" w:hAnsi="Calibri" w:cs="Calibri"/>
          <w:b/>
          <w:bCs/>
        </w:rPr>
        <w:t>M</w:t>
      </w:r>
      <w:r w:rsidR="00E277D0" w:rsidRPr="004A7417">
        <w:rPr>
          <w:rFonts w:ascii="Calibri" w:hAnsi="Calibri" w:cs="Calibri"/>
          <w:b/>
          <w:bCs/>
        </w:rPr>
        <w:t xml:space="preserve">éthode </w:t>
      </w:r>
      <w:r w:rsidR="008827CD">
        <w:rPr>
          <w:rFonts w:ascii="Calibri" w:hAnsi="Calibri" w:cs="Calibri"/>
          <w:b/>
          <w:bCs/>
        </w:rPr>
        <w:t>Transmission</w:t>
      </w:r>
      <w:r w:rsidR="00483C1B" w:rsidRPr="004A7417">
        <w:rPr>
          <w:rFonts w:ascii="Calibri" w:hAnsi="Calibri" w:cs="Calibri"/>
          <w:b/>
          <w:bCs/>
        </w:rPr>
        <w:t xml:space="preserve"> </w:t>
      </w:r>
      <w:r w:rsidR="00D6174F" w:rsidRPr="004A7417">
        <w:rPr>
          <w:rFonts w:ascii="Calibri" w:hAnsi="Calibri" w:cs="Calibri"/>
          <w:b/>
          <w:bCs/>
        </w:rPr>
        <w:t>permett</w:t>
      </w:r>
      <w:r w:rsidR="00483C1B" w:rsidRPr="004A7417">
        <w:rPr>
          <w:rFonts w:ascii="Calibri" w:hAnsi="Calibri" w:cs="Calibri"/>
          <w:b/>
          <w:bCs/>
        </w:rPr>
        <w:t>ant</w:t>
      </w:r>
      <w:r w:rsidR="00D6174F" w:rsidRPr="004A7417">
        <w:rPr>
          <w:rFonts w:ascii="Calibri" w:hAnsi="Calibri" w:cs="Calibri"/>
          <w:b/>
          <w:bCs/>
        </w:rPr>
        <w:t xml:space="preserve"> à une entreprise de </w:t>
      </w:r>
      <w:r w:rsidR="00E277D0" w:rsidRPr="004A7417">
        <w:rPr>
          <w:rFonts w:ascii="Calibri" w:hAnsi="Calibri" w:cs="Calibri"/>
          <w:b/>
          <w:bCs/>
        </w:rPr>
        <w:t>mesure</w:t>
      </w:r>
      <w:r w:rsidR="001C77AD" w:rsidRPr="004A7417">
        <w:rPr>
          <w:rFonts w:ascii="Calibri" w:hAnsi="Calibri" w:cs="Calibri"/>
          <w:b/>
          <w:bCs/>
        </w:rPr>
        <w:t>r</w:t>
      </w:r>
      <w:r w:rsidR="00E277D0" w:rsidRPr="004A7417">
        <w:rPr>
          <w:rFonts w:ascii="Calibri" w:hAnsi="Calibri" w:cs="Calibri"/>
          <w:b/>
          <w:bCs/>
        </w:rPr>
        <w:t xml:space="preserve"> </w:t>
      </w:r>
      <w:r w:rsidR="00556F60" w:rsidRPr="004A7417">
        <w:rPr>
          <w:rFonts w:ascii="Calibri" w:hAnsi="Calibri" w:cs="Calibri"/>
          <w:b/>
          <w:bCs/>
        </w:rPr>
        <w:t xml:space="preserve">et </w:t>
      </w:r>
      <w:r w:rsidR="001C77AD" w:rsidRPr="004A7417">
        <w:rPr>
          <w:rFonts w:ascii="Calibri" w:hAnsi="Calibri" w:cs="Calibri"/>
          <w:b/>
          <w:bCs/>
        </w:rPr>
        <w:t>transmettre</w:t>
      </w:r>
    </w:p>
    <w:p w14:paraId="34AB12DB" w14:textId="5A54267A" w:rsidR="00DE75F1" w:rsidRPr="004A7417" w:rsidRDefault="00BA1482" w:rsidP="00252E68">
      <w:pPr>
        <w:spacing w:after="0"/>
        <w:jc w:val="both"/>
        <w:rPr>
          <w:rFonts w:ascii="Calibri" w:hAnsi="Calibri" w:cs="Calibri"/>
          <w:b/>
          <w:bCs/>
        </w:rPr>
      </w:pPr>
      <w:r w:rsidRPr="004A7417">
        <w:rPr>
          <w:rFonts w:ascii="Calibri" w:hAnsi="Calibri" w:cs="Calibri"/>
          <w:b/>
          <w:bCs/>
        </w:rPr>
        <w:t>1</w:t>
      </w:r>
      <w:r w:rsidR="000819BB" w:rsidRPr="004A7417">
        <w:rPr>
          <w:rFonts w:ascii="Calibri" w:hAnsi="Calibri" w:cs="Calibri"/>
          <w:b/>
          <w:bCs/>
        </w:rPr>
        <w:t>-</w:t>
      </w:r>
      <w:r w:rsidRPr="004A7417">
        <w:rPr>
          <w:rFonts w:ascii="Calibri" w:hAnsi="Calibri" w:cs="Calibri"/>
          <w:b/>
          <w:bCs/>
        </w:rPr>
        <w:t xml:space="preserve"> </w:t>
      </w:r>
      <w:r w:rsidR="001C77AD" w:rsidRPr="004A7417">
        <w:rPr>
          <w:rFonts w:ascii="Calibri" w:hAnsi="Calibri" w:cs="Calibri"/>
          <w:b/>
          <w:bCs/>
        </w:rPr>
        <w:t>l</w:t>
      </w:r>
      <w:r w:rsidR="00483C1B" w:rsidRPr="004A7417">
        <w:rPr>
          <w:rFonts w:ascii="Calibri" w:hAnsi="Calibri" w:cs="Calibri"/>
          <w:b/>
          <w:bCs/>
        </w:rPr>
        <w:t>’</w:t>
      </w:r>
      <w:r w:rsidR="00852A04" w:rsidRPr="004A7417">
        <w:rPr>
          <w:rFonts w:ascii="Calibri" w:hAnsi="Calibri" w:cs="Calibri"/>
          <w:b/>
          <w:bCs/>
        </w:rPr>
        <w:t xml:space="preserve">émission </w:t>
      </w:r>
      <w:r w:rsidR="00E277D0" w:rsidRPr="004A7417">
        <w:rPr>
          <w:rFonts w:ascii="Calibri" w:hAnsi="Calibri" w:cs="Calibri"/>
          <w:b/>
          <w:bCs/>
        </w:rPr>
        <w:t xml:space="preserve">de GES </w:t>
      </w:r>
      <w:r w:rsidR="00483C1B" w:rsidRPr="004A7417">
        <w:rPr>
          <w:rFonts w:ascii="Calibri" w:hAnsi="Calibri" w:cs="Calibri"/>
          <w:b/>
          <w:bCs/>
        </w:rPr>
        <w:t xml:space="preserve">de </w:t>
      </w:r>
      <w:r w:rsidR="008639A2">
        <w:rPr>
          <w:rFonts w:ascii="Calibri" w:hAnsi="Calibri" w:cs="Calibri"/>
          <w:b/>
          <w:bCs/>
        </w:rPr>
        <w:t>chaque</w:t>
      </w:r>
      <w:r w:rsidR="00483C1B" w:rsidRPr="004A7417">
        <w:rPr>
          <w:rFonts w:ascii="Calibri" w:hAnsi="Calibri" w:cs="Calibri"/>
          <w:b/>
          <w:bCs/>
        </w:rPr>
        <w:t xml:space="preserve"> </w:t>
      </w:r>
      <w:r w:rsidR="008827CD">
        <w:rPr>
          <w:rFonts w:ascii="Calibri" w:hAnsi="Calibri" w:cs="Calibri"/>
          <w:b/>
          <w:bCs/>
        </w:rPr>
        <w:t>vente, à ses client</w:t>
      </w:r>
      <w:r w:rsidR="00483C1B" w:rsidRPr="004A7417">
        <w:rPr>
          <w:rFonts w:ascii="Calibri" w:hAnsi="Calibri" w:cs="Calibri"/>
          <w:b/>
          <w:bCs/>
        </w:rPr>
        <w:t>s</w:t>
      </w:r>
    </w:p>
    <w:p w14:paraId="63409F4B" w14:textId="041D72B4" w:rsidR="0026573B" w:rsidRPr="004A7417" w:rsidRDefault="00BA1482" w:rsidP="00252E68">
      <w:pPr>
        <w:spacing w:after="0"/>
        <w:jc w:val="both"/>
        <w:rPr>
          <w:rFonts w:ascii="Calibri" w:hAnsi="Calibri" w:cs="Calibri"/>
          <w:b/>
          <w:bCs/>
        </w:rPr>
      </w:pPr>
      <w:r w:rsidRPr="004A7417">
        <w:rPr>
          <w:rFonts w:ascii="Calibri" w:hAnsi="Calibri" w:cs="Calibri"/>
          <w:b/>
          <w:bCs/>
        </w:rPr>
        <w:t>2</w:t>
      </w:r>
      <w:r w:rsidR="000819BB" w:rsidRPr="004A7417">
        <w:rPr>
          <w:rFonts w:ascii="Calibri" w:hAnsi="Calibri" w:cs="Calibri"/>
          <w:b/>
          <w:bCs/>
        </w:rPr>
        <w:t>-</w:t>
      </w:r>
      <w:r w:rsidR="000C4B35" w:rsidRPr="004A7417">
        <w:rPr>
          <w:rFonts w:ascii="Calibri" w:hAnsi="Calibri" w:cs="Calibri"/>
          <w:b/>
          <w:bCs/>
        </w:rPr>
        <w:t xml:space="preserve"> </w:t>
      </w:r>
      <w:r w:rsidR="008827CD">
        <w:rPr>
          <w:rFonts w:ascii="Calibri" w:hAnsi="Calibri" w:cs="Calibri"/>
          <w:b/>
          <w:bCs/>
        </w:rPr>
        <w:t>la</w:t>
      </w:r>
      <w:r w:rsidR="00483C1B" w:rsidRPr="004A7417">
        <w:rPr>
          <w:rFonts w:ascii="Calibri" w:hAnsi="Calibri" w:cs="Calibri"/>
          <w:b/>
          <w:bCs/>
        </w:rPr>
        <w:t xml:space="preserve"> </w:t>
      </w:r>
      <w:r w:rsidR="000C4B35" w:rsidRPr="004A7417">
        <w:rPr>
          <w:rFonts w:ascii="Calibri" w:hAnsi="Calibri" w:cs="Calibri"/>
          <w:b/>
          <w:bCs/>
        </w:rPr>
        <w:t>décarbonation</w:t>
      </w:r>
      <w:r w:rsidR="008827CD">
        <w:rPr>
          <w:rFonts w:ascii="Calibri" w:hAnsi="Calibri" w:cs="Calibri"/>
          <w:b/>
          <w:bCs/>
        </w:rPr>
        <w:t xml:space="preserve"> annuelle de leur financement, à ses financiers</w:t>
      </w:r>
    </w:p>
    <w:p w14:paraId="2658E581" w14:textId="7A2E7DD2" w:rsidR="00C74D55" w:rsidRDefault="00E43DBB" w:rsidP="00252E68">
      <w:pPr>
        <w:tabs>
          <w:tab w:val="left" w:pos="3428"/>
        </w:tabs>
        <w:jc w:val="both"/>
        <w:rPr>
          <w:rFonts w:ascii="Calibri" w:hAnsi="Calibri" w:cs="Calibri"/>
        </w:rPr>
      </w:pPr>
      <w:r w:rsidRPr="004A7417">
        <w:rPr>
          <w:rFonts w:ascii="Calibri" w:hAnsi="Calibri" w:cs="Calibri"/>
        </w:rPr>
        <w:tab/>
      </w:r>
    </w:p>
    <w:p w14:paraId="58F5237C" w14:textId="77777777" w:rsidR="000D353F" w:rsidRPr="004A7417" w:rsidRDefault="000D353F" w:rsidP="00252E68">
      <w:pPr>
        <w:tabs>
          <w:tab w:val="left" w:pos="3428"/>
        </w:tabs>
        <w:jc w:val="both"/>
        <w:rPr>
          <w:rFonts w:ascii="Calibri" w:hAnsi="Calibri" w:cs="Calibri"/>
        </w:rPr>
      </w:pPr>
    </w:p>
    <w:p w14:paraId="57AEB425" w14:textId="77777777" w:rsidR="0004099C" w:rsidRDefault="00BF421F" w:rsidP="00090C76">
      <w:pPr>
        <w:jc w:val="both"/>
        <w:rPr>
          <w:rFonts w:ascii="Calibri" w:hAnsi="Calibri" w:cs="Calibri"/>
        </w:rPr>
      </w:pPr>
      <w:r w:rsidRPr="004A7417">
        <w:rPr>
          <w:rFonts w:ascii="Calibri" w:hAnsi="Calibri" w:cs="Calibri"/>
          <w:b/>
          <w:bCs/>
        </w:rPr>
        <w:t xml:space="preserve">L’émission de GES </w:t>
      </w:r>
      <w:r w:rsidR="00D2533A" w:rsidRPr="004A7417">
        <w:rPr>
          <w:rFonts w:ascii="Calibri" w:hAnsi="Calibri" w:cs="Calibri"/>
        </w:rPr>
        <w:t xml:space="preserve">(ou émission) </w:t>
      </w:r>
      <w:r w:rsidRPr="004A7417">
        <w:rPr>
          <w:rFonts w:ascii="Calibri" w:hAnsi="Calibri" w:cs="Calibri"/>
          <w:b/>
          <w:bCs/>
        </w:rPr>
        <w:t>d’un</w:t>
      </w:r>
      <w:r w:rsidR="0004099C">
        <w:rPr>
          <w:rFonts w:ascii="Calibri" w:hAnsi="Calibri" w:cs="Calibri"/>
          <w:b/>
          <w:bCs/>
        </w:rPr>
        <w:t>e vente</w:t>
      </w:r>
      <w:r w:rsidRPr="004A7417">
        <w:rPr>
          <w:rFonts w:ascii="Calibri" w:hAnsi="Calibri" w:cs="Calibri"/>
        </w:rPr>
        <w:t xml:space="preserve"> </w:t>
      </w:r>
    </w:p>
    <w:p w14:paraId="58FE5378" w14:textId="2A518CD5" w:rsidR="0004099C" w:rsidRPr="007F0481" w:rsidRDefault="0004099C" w:rsidP="0004099C">
      <w:pPr>
        <w:spacing w:after="0" w:line="240" w:lineRule="auto"/>
        <w:jc w:val="both"/>
        <w:rPr>
          <w:rFonts w:ascii="Calibri" w:hAnsi="Calibri" w:cs="Calibri"/>
        </w:rPr>
      </w:pPr>
      <w:r w:rsidRPr="007F0481">
        <w:rPr>
          <w:rFonts w:ascii="Calibri" w:hAnsi="Calibri" w:cs="Calibri"/>
        </w:rPr>
        <w:t>L’émission d’une vente de biens ou services mesure en</w:t>
      </w:r>
      <w:r w:rsidRPr="007F0481">
        <w:rPr>
          <w:rFonts w:ascii="Calibri" w:eastAsia="Aptos" w:hAnsi="Calibri" w:cs="Calibri"/>
          <w:kern w:val="0"/>
          <w14:ligatures w14:val="none"/>
        </w:rPr>
        <w:t xml:space="preserve"> kg d’</w:t>
      </w:r>
      <w:proofErr w:type="spellStart"/>
      <w:r w:rsidRPr="007F0481">
        <w:rPr>
          <w:rFonts w:ascii="Calibri" w:eastAsia="Aptos" w:hAnsi="Calibri" w:cs="Calibri"/>
          <w:kern w:val="0"/>
          <w14:ligatures w14:val="none"/>
        </w:rPr>
        <w:t>éq</w:t>
      </w:r>
      <w:proofErr w:type="spellEnd"/>
      <w:r w:rsidRPr="007F0481">
        <w:rPr>
          <w:rFonts w:ascii="Calibri" w:eastAsia="Aptos" w:hAnsi="Calibri" w:cs="Calibri"/>
          <w:kern w:val="0"/>
          <w14:ligatures w14:val="none"/>
        </w:rPr>
        <w:t>. CO</w:t>
      </w:r>
      <w:r w:rsidRPr="007F0481">
        <w:rPr>
          <w:rFonts w:ascii="Calibri" w:eastAsia="Aptos" w:hAnsi="Calibri" w:cs="Calibri"/>
          <w:kern w:val="0"/>
          <w:vertAlign w:val="subscript"/>
          <w14:ligatures w14:val="none"/>
        </w:rPr>
        <w:t>2</w:t>
      </w:r>
      <w:r w:rsidRPr="007F0481">
        <w:rPr>
          <w:rFonts w:ascii="Calibri" w:eastAsia="Aptos" w:hAnsi="Calibri" w:cs="Calibri"/>
          <w:kern w:val="0"/>
          <w14:ligatures w14:val="none"/>
        </w:rPr>
        <w:t xml:space="preserve"> </w:t>
      </w:r>
      <w:r w:rsidRPr="007F0481">
        <w:rPr>
          <w:rFonts w:ascii="Calibri" w:hAnsi="Calibri" w:cs="Calibri"/>
        </w:rPr>
        <w:t xml:space="preserve">l’émission de GES vers l’atmosphère qu’a engendré </w:t>
      </w:r>
      <w:r>
        <w:rPr>
          <w:rFonts w:ascii="Calibri" w:hAnsi="Calibri" w:cs="Calibri"/>
        </w:rPr>
        <w:t>le contenu de la vente</w:t>
      </w:r>
      <w:r w:rsidRPr="007F0481">
        <w:rPr>
          <w:rFonts w:ascii="Calibri" w:hAnsi="Calibri" w:cs="Calibri"/>
        </w:rPr>
        <w:t xml:space="preserve"> (on parle aussi d’empreinte, ou de capture pour une émission négative). </w:t>
      </w:r>
    </w:p>
    <w:p w14:paraId="2FD4F8EA" w14:textId="10825BCA" w:rsidR="0004099C" w:rsidRDefault="0004099C" w:rsidP="0004099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Pour calculer et transmettre l’émission de ses ventes par la méthode Transmission, une </w:t>
      </w:r>
      <w:r w:rsidR="008639A2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ntreprise (entreprise ou établissement financier) tient un </w:t>
      </w:r>
      <w:r w:rsidRPr="00BE1F7D">
        <w:rPr>
          <w:rFonts w:ascii="Calibri" w:hAnsi="Calibri" w:cs="Calibri"/>
        </w:rPr>
        <w:t xml:space="preserve">compte d’émission annuel </w:t>
      </w:r>
      <w:r>
        <w:rPr>
          <w:rFonts w:ascii="Calibri" w:hAnsi="Calibri" w:cs="Calibri"/>
        </w:rPr>
        <w:t>(plusieurs si ses activités appartiennent à des branches différentes).</w:t>
      </w:r>
    </w:p>
    <w:p w14:paraId="185DE614" w14:textId="4A4A1B3B" w:rsidR="0004099C" w:rsidRPr="008639A2" w:rsidRDefault="0004099C" w:rsidP="0004099C">
      <w:pPr>
        <w:spacing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Le </w:t>
      </w:r>
      <w:r w:rsidRPr="004E3C1A">
        <w:rPr>
          <w:rFonts w:ascii="Calibri" w:hAnsi="Calibri" w:cs="Calibri"/>
        </w:rPr>
        <w:t xml:space="preserve">compte </w:t>
      </w:r>
      <w:r w:rsidRPr="004E3C1A">
        <w:rPr>
          <w:rFonts w:ascii="Calibri" w:eastAsiaTheme="minorEastAsia" w:hAnsi="Calibri" w:cs="Calibri"/>
          <w:color w:val="000000" w:themeColor="text1"/>
          <w:kern w:val="24"/>
        </w:rPr>
        <w:t xml:space="preserve">suit l’équilibre entre l’émission de sa production et </w:t>
      </w:r>
      <w:r>
        <w:rPr>
          <w:rFonts w:ascii="Calibri" w:eastAsiaTheme="minorEastAsia" w:hAnsi="Calibri" w:cs="Calibri"/>
          <w:color w:val="000000" w:themeColor="text1"/>
          <w:kern w:val="24"/>
        </w:rPr>
        <w:t xml:space="preserve">celle </w:t>
      </w:r>
      <w:r w:rsidRPr="004E3C1A">
        <w:rPr>
          <w:rFonts w:ascii="Calibri" w:eastAsiaTheme="minorEastAsia" w:hAnsi="Calibri" w:cs="Calibri"/>
          <w:color w:val="000000" w:themeColor="text1"/>
          <w:kern w:val="24"/>
        </w:rPr>
        <w:t>de ses ventes</w:t>
      </w:r>
      <w:r>
        <w:rPr>
          <w:rFonts w:ascii="Calibri" w:eastAsiaTheme="minorEastAsia" w:hAnsi="Calibri" w:cs="Calibri"/>
          <w:color w:val="000000" w:themeColor="text1"/>
          <w:kern w:val="24"/>
        </w:rPr>
        <w:t>.</w:t>
      </w:r>
      <w:r w:rsidRPr="004E3C1A">
        <w:rPr>
          <w:rFonts w:ascii="Calibri" w:eastAsiaTheme="minorEastAsia" w:hAnsi="Calibri" w:cs="Calibri"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color w:val="000000" w:themeColor="text1"/>
          <w:kern w:val="24"/>
        </w:rPr>
        <w:t>Le solde du compte en fin d’exercice est reporté au compte de l’exercice suivant. L</w:t>
      </w:r>
      <w:r w:rsidRPr="004E3C1A">
        <w:rPr>
          <w:rFonts w:ascii="Calibri" w:eastAsiaTheme="minorEastAsia" w:hAnsi="Calibri" w:cs="Calibri"/>
          <w:color w:val="000000" w:themeColor="text1"/>
          <w:kern w:val="24"/>
        </w:rPr>
        <w:t xml:space="preserve">es opérations </w:t>
      </w:r>
      <w:r>
        <w:rPr>
          <w:rFonts w:ascii="Calibri" w:eastAsiaTheme="minorEastAsia" w:hAnsi="Calibri" w:cs="Calibri"/>
          <w:color w:val="000000" w:themeColor="text1"/>
          <w:kern w:val="24"/>
        </w:rPr>
        <w:t xml:space="preserve">suivies sont celles reprises </w:t>
      </w:r>
      <w:r w:rsidRPr="004E3C1A">
        <w:rPr>
          <w:rFonts w:ascii="Calibri" w:eastAsiaTheme="minorEastAsia" w:hAnsi="Calibri" w:cs="Calibri"/>
          <w:color w:val="000000" w:themeColor="text1"/>
          <w:kern w:val="24"/>
        </w:rPr>
        <w:t xml:space="preserve">dans le compte de produits et charges </w:t>
      </w:r>
      <w:r>
        <w:rPr>
          <w:rFonts w:ascii="Calibri" w:eastAsiaTheme="minorEastAsia" w:hAnsi="Calibri" w:cs="Calibri"/>
          <w:color w:val="000000" w:themeColor="text1"/>
          <w:kern w:val="24"/>
        </w:rPr>
        <w:t xml:space="preserve">du même exercice en valeur monétaire, </w:t>
      </w:r>
      <w:r w:rsidRPr="004E3C1A">
        <w:rPr>
          <w:rFonts w:ascii="Calibri" w:eastAsiaTheme="minorEastAsia" w:hAnsi="Calibri" w:cs="Calibri"/>
          <w:color w:val="000000" w:themeColor="text1"/>
          <w:kern w:val="24"/>
        </w:rPr>
        <w:t>sans modifier ses choix comptables, y compris d’amortissement</w:t>
      </w:r>
      <w:r w:rsidRPr="00BE1F7D">
        <w:rPr>
          <w:rFonts w:ascii="Calibri" w:hAnsi="Calibri" w:cs="Calibri"/>
        </w:rPr>
        <w:t>.</w:t>
      </w:r>
    </w:p>
    <w:p w14:paraId="6550422A" w14:textId="56437D14" w:rsidR="0004099C" w:rsidRPr="008639A2" w:rsidRDefault="0004099C" w:rsidP="0004099C">
      <w:pPr>
        <w:pStyle w:val="Paragraphedeliste"/>
        <w:numPr>
          <w:ilvl w:val="0"/>
          <w:numId w:val="26"/>
        </w:numPr>
        <w:spacing w:after="0" w:line="240" w:lineRule="auto"/>
        <w:rPr>
          <w:rFonts w:ascii="Calibri" w:hAnsi="Calibri" w:cs="Calibri"/>
          <w:b/>
          <w:bCs/>
        </w:rPr>
      </w:pPr>
      <w:r w:rsidRPr="008639A2">
        <w:rPr>
          <w:rFonts w:ascii="Calibri" w:hAnsi="Calibri" w:cs="Calibri"/>
          <w:b/>
          <w:bCs/>
        </w:rPr>
        <w:t xml:space="preserve">L’émission de production est la somme : </w:t>
      </w:r>
    </w:p>
    <w:p w14:paraId="5307283D" w14:textId="286E8DB1" w:rsidR="0004099C" w:rsidRPr="008639A2" w:rsidRDefault="0004099C" w:rsidP="008639A2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</w:rPr>
      </w:pPr>
      <w:r w:rsidRPr="008639A2">
        <w:rPr>
          <w:rFonts w:ascii="Calibri" w:hAnsi="Calibri" w:cs="Calibri"/>
        </w:rPr>
        <w:t>Des émissions de l’</w:t>
      </w:r>
      <w:r w:rsidR="00890837">
        <w:rPr>
          <w:rFonts w:ascii="Calibri" w:hAnsi="Calibri" w:cs="Calibri"/>
        </w:rPr>
        <w:t>entreprise</w:t>
      </w:r>
      <w:r w:rsidRPr="008639A2">
        <w:rPr>
          <w:rFonts w:ascii="Calibri" w:hAnsi="Calibri" w:cs="Calibri"/>
        </w:rPr>
        <w:t xml:space="preserve"> vers l’atmosphère</w:t>
      </w:r>
      <w:r w:rsidR="008639A2">
        <w:rPr>
          <w:rFonts w:ascii="Calibri" w:hAnsi="Calibri" w:cs="Calibri"/>
        </w:rPr>
        <w:t xml:space="preserve"> </w:t>
      </w:r>
      <w:r w:rsidRPr="008639A2">
        <w:rPr>
          <w:rFonts w:ascii="Calibri" w:hAnsi="Calibri" w:cs="Calibri"/>
        </w:rPr>
        <w:t xml:space="preserve">calculées selon les </w:t>
      </w:r>
      <w:r w:rsidR="008639A2">
        <w:rPr>
          <w:rFonts w:ascii="Calibri" w:hAnsi="Calibri" w:cs="Calibri"/>
        </w:rPr>
        <w:t xml:space="preserve">règles du scope 1 </w:t>
      </w:r>
      <w:proofErr w:type="gramStart"/>
      <w:r w:rsidR="008639A2">
        <w:rPr>
          <w:rFonts w:ascii="Calibri" w:hAnsi="Calibri" w:cs="Calibri"/>
        </w:rPr>
        <w:t xml:space="preserve">des </w:t>
      </w:r>
      <w:r w:rsidRPr="008639A2">
        <w:rPr>
          <w:rFonts w:ascii="Calibri" w:hAnsi="Calibri" w:cs="Calibri"/>
        </w:rPr>
        <w:t>protocoles carbone</w:t>
      </w:r>
      <w:proofErr w:type="gramEnd"/>
      <w:r w:rsidR="008639A2">
        <w:rPr>
          <w:rFonts w:ascii="Calibri" w:hAnsi="Calibri" w:cs="Calibri"/>
        </w:rPr>
        <w:t>.</w:t>
      </w:r>
      <w:r w:rsidRPr="008639A2">
        <w:rPr>
          <w:rFonts w:ascii="Calibri" w:hAnsi="Calibri" w:cs="Calibri"/>
        </w:rPr>
        <w:t> </w:t>
      </w:r>
      <w:r w:rsidR="008639A2">
        <w:rPr>
          <w:rFonts w:ascii="Calibri" w:hAnsi="Calibri" w:cs="Calibri"/>
        </w:rPr>
        <w:t xml:space="preserve"> </w:t>
      </w:r>
    </w:p>
    <w:p w14:paraId="549F83FA" w14:textId="4A5E4E73" w:rsidR="0004099C" w:rsidRPr="008639A2" w:rsidRDefault="0004099C" w:rsidP="008639A2">
      <w:pPr>
        <w:pStyle w:val="Paragraphedeliste"/>
        <w:numPr>
          <w:ilvl w:val="0"/>
          <w:numId w:val="32"/>
        </w:numPr>
        <w:spacing w:line="240" w:lineRule="auto"/>
        <w:jc w:val="both"/>
        <w:rPr>
          <w:rFonts w:ascii="Calibri" w:hAnsi="Calibri" w:cs="Calibri"/>
        </w:rPr>
      </w:pPr>
      <w:r w:rsidRPr="008639A2">
        <w:rPr>
          <w:rFonts w:ascii="Calibri" w:hAnsi="Calibri" w:cs="Calibri"/>
        </w:rPr>
        <w:t>Des émissions des achats et dotations aux amortissements données par le fournisseur</w:t>
      </w:r>
      <w:r w:rsidR="008639A2">
        <w:rPr>
          <w:rFonts w:ascii="Calibri" w:hAnsi="Calibri" w:cs="Calibri"/>
        </w:rPr>
        <w:t xml:space="preserve"> ; </w:t>
      </w:r>
      <w:r w:rsidRPr="008639A2">
        <w:rPr>
          <w:rFonts w:ascii="Calibri" w:hAnsi="Calibri" w:cs="Calibri"/>
        </w:rPr>
        <w:t>ou</w:t>
      </w:r>
      <w:r w:rsidR="008639A2">
        <w:rPr>
          <w:rFonts w:ascii="Calibri" w:hAnsi="Calibri" w:cs="Calibri"/>
        </w:rPr>
        <w:t>,</w:t>
      </w:r>
      <w:r w:rsidRPr="008639A2">
        <w:rPr>
          <w:rFonts w:ascii="Calibri" w:hAnsi="Calibri" w:cs="Calibri"/>
        </w:rPr>
        <w:t xml:space="preserve"> à défaut</w:t>
      </w:r>
      <w:r w:rsidR="008639A2">
        <w:rPr>
          <w:rFonts w:ascii="Calibri" w:hAnsi="Calibri" w:cs="Calibri"/>
        </w:rPr>
        <w:t>,</w:t>
      </w:r>
      <w:r w:rsidRPr="008639A2">
        <w:rPr>
          <w:rFonts w:ascii="Calibri" w:hAnsi="Calibri" w:cs="Calibri"/>
        </w:rPr>
        <w:t xml:space="preserve"> par une moyenne tirée d’une source publique augmentée d’un coefficient de prudence </w:t>
      </w:r>
      <w:r w:rsidR="008639A2">
        <w:rPr>
          <w:rFonts w:ascii="Calibri" w:hAnsi="Calibri" w:cs="Calibri"/>
        </w:rPr>
        <w:t xml:space="preserve">fixé par les pouvoirs publics ou à </w:t>
      </w:r>
      <w:r w:rsidRPr="008639A2">
        <w:rPr>
          <w:rFonts w:ascii="Calibri" w:hAnsi="Calibri" w:cs="Calibri"/>
        </w:rPr>
        <w:t xml:space="preserve">20%. </w:t>
      </w:r>
    </w:p>
    <w:p w14:paraId="450E1B1C" w14:textId="77777777" w:rsidR="008639A2" w:rsidRPr="008639A2" w:rsidRDefault="0004099C" w:rsidP="008639A2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b/>
          <w:bCs/>
        </w:rPr>
      </w:pPr>
      <w:r w:rsidRPr="008639A2">
        <w:rPr>
          <w:rFonts w:ascii="Calibri" w:hAnsi="Calibri" w:cs="Calibri"/>
          <w:b/>
          <w:bCs/>
        </w:rPr>
        <w:t xml:space="preserve">L’émission des ventes </w:t>
      </w:r>
    </w:p>
    <w:p w14:paraId="0696E32B" w14:textId="0475C770" w:rsidR="0004099C" w:rsidRPr="008639A2" w:rsidRDefault="008639A2" w:rsidP="008639A2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</w:t>
      </w:r>
      <w:r w:rsidR="0004099C" w:rsidRPr="008639A2">
        <w:rPr>
          <w:rFonts w:ascii="Calibri" w:hAnsi="Calibri" w:cs="Calibri"/>
        </w:rPr>
        <w:t xml:space="preserve">est la somme des émissions transmises aux clients sur la base de l’émission de production </w:t>
      </w:r>
      <w:r>
        <w:rPr>
          <w:rFonts w:ascii="Calibri" w:hAnsi="Calibri" w:cs="Calibri"/>
        </w:rPr>
        <w:t xml:space="preserve">qu’a </w:t>
      </w:r>
      <w:r w:rsidR="0004099C" w:rsidRPr="008639A2">
        <w:rPr>
          <w:rFonts w:ascii="Calibri" w:hAnsi="Calibri" w:cs="Calibri"/>
        </w:rPr>
        <w:t xml:space="preserve">nécessité la vente. Au </w:t>
      </w:r>
      <w:r w:rsidR="0004099C" w:rsidRPr="008639A2">
        <w:rPr>
          <w:rFonts w:ascii="Calibri" w:eastAsiaTheme="minorEastAsia" w:hAnsi="Calibri" w:cs="Calibri"/>
          <w:color w:val="000000" w:themeColor="text1"/>
          <w:kern w:val="24"/>
        </w:rPr>
        <w:t xml:space="preserve">plus simple, </w:t>
      </w:r>
      <w:r>
        <w:rPr>
          <w:rFonts w:ascii="Calibri" w:eastAsiaTheme="minorEastAsia" w:hAnsi="Calibri" w:cs="Calibri"/>
          <w:color w:val="000000" w:themeColor="text1"/>
          <w:kern w:val="24"/>
        </w:rPr>
        <w:t>l’entreprise</w:t>
      </w:r>
      <w:r w:rsidR="0004099C" w:rsidRPr="008639A2">
        <w:rPr>
          <w:rFonts w:ascii="Calibri" w:eastAsiaTheme="minorEastAsia" w:hAnsi="Calibri" w:cs="Calibri"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color w:val="000000" w:themeColor="text1"/>
          <w:kern w:val="24"/>
        </w:rPr>
        <w:t xml:space="preserve">multiple le montant monétaire de chaque facture par </w:t>
      </w:r>
      <w:r w:rsidR="0004099C" w:rsidRPr="008639A2">
        <w:rPr>
          <w:rFonts w:ascii="Calibri" w:eastAsiaTheme="minorEastAsia" w:hAnsi="Calibri" w:cs="Calibri"/>
          <w:color w:val="000000" w:themeColor="text1"/>
          <w:kern w:val="24"/>
        </w:rPr>
        <w:t>l’émission par unité monétaire du dernier compte d’émission clôturé.</w:t>
      </w:r>
      <w:r>
        <w:rPr>
          <w:rFonts w:ascii="Calibri" w:eastAsiaTheme="minorEastAsia" w:hAnsi="Calibri" w:cs="Calibri"/>
          <w:color w:val="000000" w:themeColor="text1"/>
          <w:kern w:val="24"/>
        </w:rPr>
        <w:t xml:space="preserve"> </w:t>
      </w:r>
      <w:r w:rsidR="0004099C" w:rsidRPr="008639A2">
        <w:rPr>
          <w:rFonts w:ascii="Calibri" w:eastAsiaTheme="minorEastAsia" w:hAnsi="Calibri" w:cs="Calibri"/>
          <w:color w:val="000000" w:themeColor="text1"/>
          <w:kern w:val="24"/>
        </w:rPr>
        <w:t xml:space="preserve">L’entreprise </w:t>
      </w:r>
      <w:r w:rsidR="0004099C" w:rsidRPr="008639A2">
        <w:rPr>
          <w:rFonts w:ascii="Calibri" w:hAnsi="Calibri" w:cs="Calibri"/>
        </w:rPr>
        <w:t xml:space="preserve">affine </w:t>
      </w:r>
      <w:r>
        <w:rPr>
          <w:rFonts w:ascii="Calibri" w:hAnsi="Calibri" w:cs="Calibri"/>
        </w:rPr>
        <w:t xml:space="preserve">cette moyenne </w:t>
      </w:r>
      <w:r w:rsidR="0004099C" w:rsidRPr="008639A2">
        <w:rPr>
          <w:rFonts w:ascii="Calibri" w:hAnsi="Calibri" w:cs="Calibri"/>
        </w:rPr>
        <w:t>au mieux de ses outils de gestion.</w:t>
      </w:r>
    </w:p>
    <w:p w14:paraId="659597D3" w14:textId="77777777" w:rsidR="0004099C" w:rsidRPr="00BE1F7D" w:rsidRDefault="0004099C" w:rsidP="0004099C">
      <w:pPr>
        <w:spacing w:after="0" w:line="240" w:lineRule="auto"/>
        <w:jc w:val="both"/>
        <w:rPr>
          <w:rFonts w:ascii="Calibri" w:hAnsi="Calibri" w:cs="Calibri"/>
        </w:rPr>
      </w:pPr>
    </w:p>
    <w:p w14:paraId="36EE6420" w14:textId="77777777" w:rsidR="0004099C" w:rsidRPr="008639A2" w:rsidRDefault="0004099C" w:rsidP="008639A2">
      <w:pPr>
        <w:spacing w:line="240" w:lineRule="auto"/>
        <w:jc w:val="both"/>
        <w:rPr>
          <w:rFonts w:ascii="Calibri" w:hAnsi="Calibri" w:cs="Calibri"/>
          <w:b/>
          <w:bCs/>
        </w:rPr>
      </w:pPr>
      <w:r w:rsidRPr="008639A2">
        <w:rPr>
          <w:rFonts w:ascii="Calibri" w:hAnsi="Calibri" w:cs="Calibri"/>
          <w:b/>
          <w:bCs/>
        </w:rPr>
        <w:t>La décarbonation annuelle de l’entreprise et de ses financements</w:t>
      </w:r>
    </w:p>
    <w:p w14:paraId="587924C5" w14:textId="77777777" w:rsidR="00063996" w:rsidRPr="00A64C00" w:rsidRDefault="00063996" w:rsidP="00063996">
      <w:pPr>
        <w:spacing w:line="240" w:lineRule="auto"/>
        <w:jc w:val="both"/>
        <w:rPr>
          <w:rFonts w:ascii="Calibri" w:hAnsi="Calibri" w:cs="Calibri"/>
        </w:rPr>
      </w:pPr>
      <w:bookmarkStart w:id="1" w:name="_Hlk188625994"/>
      <w:r w:rsidRPr="007F0481">
        <w:rPr>
          <w:rFonts w:ascii="Calibri" w:hAnsi="Calibri" w:cs="Calibri"/>
        </w:rPr>
        <w:t xml:space="preserve">La décarbonation d’une </w:t>
      </w:r>
      <w:r>
        <w:rPr>
          <w:rFonts w:ascii="Calibri" w:hAnsi="Calibri" w:cs="Calibri"/>
        </w:rPr>
        <w:t>entreprise</w:t>
      </w:r>
      <w:r w:rsidRPr="007F0481">
        <w:rPr>
          <w:rFonts w:ascii="Calibri" w:hAnsi="Calibri" w:cs="Calibri"/>
        </w:rPr>
        <w:t xml:space="preserve"> est </w:t>
      </w:r>
      <w:r>
        <w:rPr>
          <w:rFonts w:ascii="Calibri" w:hAnsi="Calibri" w:cs="Calibri"/>
        </w:rPr>
        <w:t>sa</w:t>
      </w:r>
      <w:r w:rsidRPr="007F0481">
        <w:rPr>
          <w:rFonts w:ascii="Calibri" w:hAnsi="Calibri" w:cs="Calibri"/>
        </w:rPr>
        <w:t xml:space="preserve"> </w:t>
      </w:r>
      <w:r w:rsidRPr="007F0481">
        <w:rPr>
          <w:rFonts w:ascii="Calibri" w:eastAsiaTheme="minorEastAsia" w:hAnsi="Calibri" w:cs="Calibri"/>
          <w:color w:val="000000" w:themeColor="text1"/>
          <w:kern w:val="24"/>
          <w:lang w:eastAsia="fr-FR"/>
          <w14:ligatures w14:val="none"/>
        </w:rPr>
        <w:t>contribution à la décarbonation nationale</w:t>
      </w:r>
      <w:r>
        <w:rPr>
          <w:rFonts w:ascii="Calibri" w:eastAsiaTheme="minorEastAsia" w:hAnsi="Calibri" w:cs="Calibri"/>
          <w:color w:val="000000" w:themeColor="text1"/>
          <w:kern w:val="24"/>
          <w:lang w:eastAsia="fr-FR"/>
          <w14:ligatures w14:val="none"/>
        </w:rPr>
        <w:t xml:space="preserve"> : la variation qu’elle provoque </w:t>
      </w:r>
      <w:r w:rsidRPr="00BE1F7D">
        <w:rPr>
          <w:rFonts w:ascii="Calibri" w:hAnsi="Calibri" w:cs="Calibri"/>
        </w:rPr>
        <w:t xml:space="preserve">d’une année sur l’autre du flux </w:t>
      </w:r>
      <w:r>
        <w:rPr>
          <w:rFonts w:ascii="Calibri" w:hAnsi="Calibri" w:cs="Calibri"/>
        </w:rPr>
        <w:t xml:space="preserve">national </w:t>
      </w:r>
      <w:r w:rsidRPr="00BE1F7D">
        <w:rPr>
          <w:rFonts w:ascii="Calibri" w:hAnsi="Calibri" w:cs="Calibri"/>
        </w:rPr>
        <w:t>d’émission vers l’atmosphère</w:t>
      </w:r>
      <w:r>
        <w:rPr>
          <w:rFonts w:ascii="Calibri" w:eastAsiaTheme="minorEastAsia" w:hAnsi="Calibri" w:cs="Calibri"/>
          <w:color w:val="000000" w:themeColor="text1"/>
          <w:kern w:val="24"/>
          <w:lang w:eastAsia="fr-FR"/>
          <w14:ligatures w14:val="none"/>
        </w:rPr>
        <w:t xml:space="preserve">. La méthode calcule une décarbonation exhaustive et sans doubles-comptes qui intègre des </w:t>
      </w:r>
      <w:r>
        <w:rPr>
          <w:rFonts w:ascii="Calibri" w:hAnsi="Calibri" w:cs="Calibri"/>
        </w:rPr>
        <w:t>conventions de partage de responsabilité avec les activités en amont et en aval</w:t>
      </w:r>
      <w:r w:rsidRPr="00BE1F7D">
        <w:rPr>
          <w:rFonts w:ascii="Calibri" w:hAnsi="Calibri" w:cs="Calibri"/>
        </w:rPr>
        <w:t xml:space="preserve">. </w:t>
      </w:r>
      <w:r w:rsidRPr="000C0676">
        <w:rPr>
          <w:rFonts w:ascii="Calibri" w:hAnsi="Calibri" w:cs="Calibri"/>
        </w:rPr>
        <w:t>La décarbonation d</w:t>
      </w:r>
      <w:r>
        <w:rPr>
          <w:rFonts w:ascii="Calibri" w:hAnsi="Calibri" w:cs="Calibri"/>
        </w:rPr>
        <w:t>e l’entreprise</w:t>
      </w:r>
      <w:r w:rsidRPr="000C0676">
        <w:rPr>
          <w:rFonts w:ascii="Calibri" w:hAnsi="Calibri" w:cs="Calibri"/>
        </w:rPr>
        <w:t xml:space="preserve"> est la somme de </w:t>
      </w:r>
      <w:r>
        <w:rPr>
          <w:rFonts w:ascii="Calibri" w:hAnsi="Calibri" w:cs="Calibri"/>
        </w:rPr>
        <w:t>s</w:t>
      </w:r>
      <w:r w:rsidRPr="000C0676">
        <w:rPr>
          <w:rFonts w:ascii="Calibri" w:hAnsi="Calibri" w:cs="Calibri"/>
        </w:rPr>
        <w:t xml:space="preserve">a décarbonation opérationnelle et de </w:t>
      </w:r>
      <w:r>
        <w:rPr>
          <w:rFonts w:ascii="Calibri" w:hAnsi="Calibri" w:cs="Calibri"/>
        </w:rPr>
        <w:t>s</w:t>
      </w:r>
      <w:r w:rsidRPr="000C0676">
        <w:rPr>
          <w:rFonts w:ascii="Calibri" w:hAnsi="Calibri" w:cs="Calibri"/>
        </w:rPr>
        <w:t>a décarbonation financière.</w:t>
      </w:r>
    </w:p>
    <w:p w14:paraId="3A8491E7" w14:textId="77777777" w:rsidR="00063996" w:rsidRPr="00A43DA7" w:rsidRDefault="00063996" w:rsidP="00063996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A43DA7">
        <w:rPr>
          <w:rFonts w:ascii="Calibri" w:hAnsi="Calibri" w:cs="Calibri"/>
          <w:b/>
          <w:bCs/>
        </w:rPr>
        <w:t xml:space="preserve">La décarbonation opérationnelle </w:t>
      </w:r>
    </w:p>
    <w:p w14:paraId="0ADE19D2" w14:textId="77777777" w:rsidR="00063996" w:rsidRPr="00A43DA7" w:rsidRDefault="00063996" w:rsidP="00063996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</w:t>
      </w:r>
      <w:r w:rsidRPr="00A43DA7">
        <w:rPr>
          <w:rFonts w:ascii="Calibri" w:hAnsi="Calibri" w:cs="Calibri"/>
        </w:rPr>
        <w:t xml:space="preserve">est la contribution à la décarbonation collective de ses </w:t>
      </w:r>
      <w:r>
        <w:rPr>
          <w:rFonts w:ascii="Calibri" w:hAnsi="Calibri" w:cs="Calibri"/>
        </w:rPr>
        <w:t>investissements opérationnels</w:t>
      </w:r>
      <w:r w:rsidRPr="00A43DA7">
        <w:rPr>
          <w:rFonts w:ascii="Calibri" w:hAnsi="Calibri" w:cs="Calibri"/>
        </w:rPr>
        <w:t> :</w:t>
      </w:r>
    </w:p>
    <w:p w14:paraId="05914B09" w14:textId="77777777" w:rsidR="00063996" w:rsidRPr="00BE1F7D" w:rsidRDefault="00063996" w:rsidP="00063996">
      <w:pPr>
        <w:pStyle w:val="Paragraphedeliste"/>
        <w:numPr>
          <w:ilvl w:val="0"/>
          <w:numId w:val="28"/>
        </w:numPr>
        <w:spacing w:line="240" w:lineRule="auto"/>
        <w:jc w:val="both"/>
        <w:rPr>
          <w:rFonts w:ascii="Calibri" w:eastAsiaTheme="minorEastAsia" w:hAnsi="Calibri" w:cs="Calibri"/>
          <w:color w:val="000000" w:themeColor="text1"/>
          <w:kern w:val="24"/>
          <w:lang w:eastAsia="fr-FR"/>
          <w14:ligatures w14:val="none"/>
        </w:rPr>
      </w:pPr>
      <w:r w:rsidRPr="00BE1F7D">
        <w:rPr>
          <w:rFonts w:ascii="Calibri" w:hAnsi="Calibri" w:cs="Calibri"/>
          <w:color w:val="000000" w:themeColor="text1"/>
        </w:rPr>
        <w:lastRenderedPageBreak/>
        <w:t xml:space="preserve">Sa décarbonation de productivité </w:t>
      </w:r>
      <w:r>
        <w:rPr>
          <w:rFonts w:ascii="Calibri" w:hAnsi="Calibri" w:cs="Calibri"/>
          <w:color w:val="000000" w:themeColor="text1"/>
        </w:rPr>
        <w:t xml:space="preserve">mesure l’impact de ses projets sur la décarbonation qu’elle </w:t>
      </w:r>
      <w:r w:rsidRPr="00BE1F7D">
        <w:rPr>
          <w:rFonts w:ascii="Calibri" w:hAnsi="Calibri" w:cs="Calibri"/>
          <w:color w:val="000000" w:themeColor="text1"/>
        </w:rPr>
        <w:t xml:space="preserve">dégage </w:t>
      </w:r>
      <w:r w:rsidRPr="00BE1F7D">
        <w:rPr>
          <w:rFonts w:ascii="Calibri" w:eastAsiaTheme="minorEastAsia" w:hAnsi="Calibri" w:cs="Calibri"/>
          <w:color w:val="000000" w:themeColor="text1"/>
          <w:kern w:val="24"/>
          <w:lang w:eastAsia="fr-FR"/>
          <w14:ligatures w14:val="none"/>
        </w:rPr>
        <w:t>à quantités vendues constantes (calculable automatiquement</w:t>
      </w:r>
      <w:r>
        <w:rPr>
          <w:rFonts w:ascii="Calibri" w:eastAsiaTheme="minorEastAsia" w:hAnsi="Calibri" w:cs="Calibri"/>
          <w:color w:val="000000" w:themeColor="text1"/>
          <w:kern w:val="24"/>
          <w:lang w:eastAsia="fr-FR"/>
          <w14:ligatures w14:val="none"/>
        </w:rPr>
        <w:t>, formule en annexe</w:t>
      </w:r>
      <w:r w:rsidRPr="00BE1F7D">
        <w:rPr>
          <w:rFonts w:ascii="Calibri" w:eastAsiaTheme="minorEastAsia" w:hAnsi="Calibri" w:cs="Calibri"/>
          <w:color w:val="000000" w:themeColor="text1"/>
          <w:kern w:val="24"/>
          <w:lang w:eastAsia="fr-FR"/>
          <w14:ligatures w14:val="none"/>
        </w:rPr>
        <w:t xml:space="preserve">) </w:t>
      </w:r>
    </w:p>
    <w:p w14:paraId="31F83F29" w14:textId="77777777" w:rsidR="00063996" w:rsidRDefault="00063996" w:rsidP="00063996">
      <w:pPr>
        <w:pStyle w:val="Paragraphedeliste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BE1F7D">
        <w:rPr>
          <w:rFonts w:ascii="Calibri" w:eastAsiaTheme="minorEastAsia" w:hAnsi="Calibri" w:cs="Calibri"/>
          <w:color w:val="000000" w:themeColor="text1"/>
          <w:kern w:val="24"/>
          <w:lang w:eastAsia="fr-FR"/>
          <w14:ligatures w14:val="none"/>
        </w:rPr>
        <w:t>Sa décarbonation de capacité</w:t>
      </w:r>
      <w:r>
        <w:rPr>
          <w:rFonts w:ascii="Calibri" w:eastAsiaTheme="minorEastAsia" w:hAnsi="Calibri" w:cs="Calibri"/>
          <w:color w:val="000000" w:themeColor="text1"/>
          <w:kern w:val="24"/>
          <w:lang w:eastAsia="fr-FR"/>
          <w14:ligatures w14:val="none"/>
        </w:rPr>
        <w:t xml:space="preserve"> mesure l’impact de ses projets sur la décarbonation de son ou ses marchés</w:t>
      </w:r>
      <w:r w:rsidRPr="00BE1F7D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</w:rPr>
        <w:t xml:space="preserve">en </w:t>
      </w:r>
      <w:r w:rsidRPr="004A7417">
        <w:rPr>
          <w:rFonts w:ascii="Calibri" w:hAnsi="Calibri" w:cs="Calibri"/>
        </w:rPr>
        <w:t>développ</w:t>
      </w:r>
      <w:r>
        <w:rPr>
          <w:rFonts w:ascii="Calibri" w:hAnsi="Calibri" w:cs="Calibri"/>
        </w:rPr>
        <w:t>ant</w:t>
      </w:r>
      <w:r w:rsidRPr="004A74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une</w:t>
      </w:r>
      <w:r w:rsidRPr="004A7417">
        <w:rPr>
          <w:rFonts w:ascii="Calibri" w:hAnsi="Calibri" w:cs="Calibri"/>
        </w:rPr>
        <w:t xml:space="preserve"> offre</w:t>
      </w:r>
      <w:r>
        <w:rPr>
          <w:rFonts w:ascii="Calibri" w:hAnsi="Calibri" w:cs="Calibri"/>
        </w:rPr>
        <w:t xml:space="preserve"> </w:t>
      </w:r>
      <w:r w:rsidRPr="004A7417">
        <w:rPr>
          <w:rFonts w:ascii="Calibri" w:hAnsi="Calibri" w:cs="Calibri"/>
        </w:rPr>
        <w:t xml:space="preserve">performante en </w:t>
      </w:r>
      <w:r>
        <w:rPr>
          <w:rFonts w:ascii="Calibri" w:hAnsi="Calibri" w:cs="Calibri"/>
        </w:rPr>
        <w:t>émission</w:t>
      </w:r>
      <w:r w:rsidRPr="004A74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ou en réduisant une offre non performante</w:t>
      </w:r>
      <w:r w:rsidRPr="004A7417">
        <w:rPr>
          <w:rFonts w:ascii="Calibri" w:hAnsi="Calibri" w:cs="Calibri"/>
        </w:rPr>
        <w:t xml:space="preserve"> </w:t>
      </w:r>
      <w:r w:rsidRPr="00BE1F7D">
        <w:rPr>
          <w:rFonts w:ascii="Calibri" w:hAnsi="Calibri" w:cs="Calibri"/>
          <w:color w:val="000000" w:themeColor="text1"/>
        </w:rPr>
        <w:t>(calculable automatiquement dès que les autorités financières ont fixé les paramètres de marché nécessaires</w:t>
      </w:r>
      <w:r>
        <w:rPr>
          <w:rFonts w:ascii="Calibri" w:hAnsi="Calibri" w:cs="Calibri"/>
          <w:color w:val="000000" w:themeColor="text1"/>
        </w:rPr>
        <w:t>, formule en annexe ; n’est pas compté sinon</w:t>
      </w:r>
      <w:r w:rsidRPr="00BE1F7D">
        <w:rPr>
          <w:rFonts w:ascii="Calibri" w:hAnsi="Calibri" w:cs="Calibri"/>
          <w:color w:val="000000" w:themeColor="text1"/>
        </w:rPr>
        <w:t xml:space="preserve">). </w:t>
      </w:r>
    </w:p>
    <w:p w14:paraId="1B9BC5CA" w14:textId="77777777" w:rsidR="00063996" w:rsidRPr="00A43DA7" w:rsidRDefault="00063996" w:rsidP="00063996">
      <w:pPr>
        <w:pStyle w:val="Paragraphedeliste"/>
        <w:numPr>
          <w:ilvl w:val="0"/>
          <w:numId w:val="27"/>
        </w:numPr>
        <w:spacing w:before="240"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A43DA7">
        <w:rPr>
          <w:rFonts w:ascii="Calibri" w:hAnsi="Calibri" w:cs="Calibri"/>
          <w:b/>
          <w:bCs/>
        </w:rPr>
        <w:t xml:space="preserve">La décarbonation financière </w:t>
      </w:r>
    </w:p>
    <w:p w14:paraId="41FF8B35" w14:textId="77777777" w:rsidR="00063996" w:rsidRPr="00A43DA7" w:rsidRDefault="00063996" w:rsidP="00063996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 xml:space="preserve">C’est la contribution des bénéficiaires de ses financements en capital et en crédit. Ils </w:t>
      </w:r>
      <w:r w:rsidRPr="00A43DA7">
        <w:rPr>
          <w:rFonts w:ascii="Calibri" w:hAnsi="Calibri" w:cs="Calibri"/>
        </w:rPr>
        <w:t xml:space="preserve">remontent leur décarbonation </w:t>
      </w:r>
      <w:r>
        <w:rPr>
          <w:rFonts w:ascii="Calibri" w:hAnsi="Calibri" w:cs="Calibri"/>
        </w:rPr>
        <w:t xml:space="preserve">à l’entreprise </w:t>
      </w:r>
      <w:r w:rsidRPr="00A43DA7">
        <w:rPr>
          <w:rFonts w:ascii="Calibri" w:hAnsi="Calibri" w:cs="Calibri"/>
        </w:rPr>
        <w:t>au prorata de l</w:t>
      </w:r>
      <w:r>
        <w:rPr>
          <w:rFonts w:ascii="Calibri" w:hAnsi="Calibri" w:cs="Calibri"/>
        </w:rPr>
        <w:t>’entreprise</w:t>
      </w:r>
      <w:r w:rsidRPr="00A43DA7">
        <w:rPr>
          <w:rFonts w:ascii="Calibri" w:hAnsi="Calibri" w:cs="Calibri"/>
        </w:rPr>
        <w:t xml:space="preserve"> dans leur financement</w:t>
      </w:r>
      <w:r>
        <w:rPr>
          <w:rFonts w:ascii="Calibri" w:hAnsi="Calibri" w:cs="Calibri"/>
        </w:rPr>
        <w:t xml:space="preserve"> (et selon les mêmes règles que ci-dessous)</w:t>
      </w:r>
      <w:r w:rsidRPr="00A43DA7">
        <w:rPr>
          <w:rFonts w:ascii="Calibri" w:hAnsi="Calibri" w:cs="Calibri"/>
        </w:rPr>
        <w:t>.</w:t>
      </w:r>
    </w:p>
    <w:p w14:paraId="038C4C45" w14:textId="5CB75797" w:rsidR="00063996" w:rsidRDefault="00063996" w:rsidP="00063996">
      <w:pPr>
        <w:spacing w:after="0" w:line="240" w:lineRule="auto"/>
        <w:jc w:val="both"/>
        <w:rPr>
          <w:rFonts w:ascii="Calibri" w:hAnsi="Calibri" w:cs="Calibri"/>
        </w:rPr>
      </w:pPr>
      <w:r w:rsidRPr="00BE1F7D">
        <w:rPr>
          <w:rFonts w:ascii="Calibri" w:hAnsi="Calibri" w:cs="Calibri"/>
        </w:rPr>
        <w:t xml:space="preserve">Les deux décarbonations sont portées </w:t>
      </w:r>
      <w:r w:rsidRPr="00A64C00">
        <w:rPr>
          <w:rFonts w:ascii="Calibri" w:hAnsi="Calibri" w:cs="Calibri"/>
          <w:b/>
          <w:bCs/>
        </w:rPr>
        <w:t>au bilan de décarbonation</w:t>
      </w:r>
      <w:r w:rsidRPr="00BE1F7D">
        <w:rPr>
          <w:rFonts w:ascii="Calibri" w:hAnsi="Calibri" w:cs="Calibri"/>
        </w:rPr>
        <w:t xml:space="preserve"> de l’</w:t>
      </w:r>
      <w:r w:rsidR="00890837">
        <w:rPr>
          <w:rFonts w:ascii="Calibri" w:hAnsi="Calibri" w:cs="Calibri"/>
        </w:rPr>
        <w:t>entreprise</w:t>
      </w:r>
      <w:r w:rsidRPr="00BE1F7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Il porte les émissions des immobilisations en cours.</w:t>
      </w:r>
    </w:p>
    <w:p w14:paraId="3856A8A4" w14:textId="77777777" w:rsidR="00063996" w:rsidRPr="00BE1F7D" w:rsidRDefault="00063996" w:rsidP="00063996">
      <w:pPr>
        <w:spacing w:after="0" w:line="240" w:lineRule="auto"/>
        <w:jc w:val="both"/>
        <w:rPr>
          <w:rFonts w:ascii="Calibri" w:hAnsi="Calibri" w:cs="Calibri"/>
        </w:rPr>
      </w:pPr>
      <w:r w:rsidRPr="00BE1F7D">
        <w:rPr>
          <w:rFonts w:ascii="Calibri" w:hAnsi="Calibri" w:cs="Calibri"/>
        </w:rPr>
        <w:t>A la clôture </w:t>
      </w:r>
      <w:r>
        <w:rPr>
          <w:rFonts w:ascii="Calibri" w:hAnsi="Calibri" w:cs="Calibri"/>
        </w:rPr>
        <w:t xml:space="preserve">du bilan, des distributions systématiques sont effectuées au bénéfice des </w:t>
      </w:r>
      <w:r w:rsidRPr="00BE1F7D">
        <w:rPr>
          <w:rFonts w:ascii="Calibri" w:hAnsi="Calibri" w:cs="Calibri"/>
        </w:rPr>
        <w:t>financiers de l’</w:t>
      </w:r>
      <w:r>
        <w:rPr>
          <w:rFonts w:ascii="Calibri" w:hAnsi="Calibri" w:cs="Calibri"/>
        </w:rPr>
        <w:t xml:space="preserve">entreprise et </w:t>
      </w:r>
      <w:r w:rsidRPr="00BE1F7D">
        <w:rPr>
          <w:rFonts w:ascii="Calibri" w:hAnsi="Calibri" w:cs="Calibri"/>
        </w:rPr>
        <w:t xml:space="preserve">au prorata de leur part dans </w:t>
      </w:r>
      <w:r>
        <w:rPr>
          <w:rFonts w:ascii="Calibri" w:hAnsi="Calibri" w:cs="Calibri"/>
        </w:rPr>
        <w:t>son</w:t>
      </w:r>
      <w:r w:rsidRPr="00BE1F7D">
        <w:rPr>
          <w:rFonts w:ascii="Calibri" w:hAnsi="Calibri" w:cs="Calibri"/>
        </w:rPr>
        <w:t xml:space="preserve"> financement :</w:t>
      </w:r>
    </w:p>
    <w:p w14:paraId="6F90708B" w14:textId="77777777" w:rsidR="00063996" w:rsidRPr="00BE1F7D" w:rsidRDefault="00063996" w:rsidP="00063996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Celle du</w:t>
      </w:r>
      <w:r w:rsidRPr="00BE1F7D">
        <w:rPr>
          <w:rFonts w:ascii="Calibri" w:hAnsi="Calibri" w:cs="Calibri"/>
        </w:rPr>
        <w:t xml:space="preserve"> solde d</w:t>
      </w:r>
      <w:r>
        <w:rPr>
          <w:rFonts w:ascii="Calibri" w:hAnsi="Calibri" w:cs="Calibri"/>
        </w:rPr>
        <w:t>u</w:t>
      </w:r>
      <w:r w:rsidRPr="00BE1F7D">
        <w:rPr>
          <w:rFonts w:ascii="Calibri" w:hAnsi="Calibri" w:cs="Calibri"/>
        </w:rPr>
        <w:t xml:space="preserve"> bilan </w:t>
      </w:r>
      <w:r>
        <w:rPr>
          <w:rFonts w:ascii="Calibri" w:hAnsi="Calibri" w:cs="Calibri"/>
        </w:rPr>
        <w:t xml:space="preserve">s’il est </w:t>
      </w:r>
      <w:r w:rsidRPr="00BE1F7D">
        <w:rPr>
          <w:rFonts w:ascii="Calibri" w:hAnsi="Calibri" w:cs="Calibri"/>
        </w:rPr>
        <w:t xml:space="preserve">positif. </w:t>
      </w:r>
    </w:p>
    <w:p w14:paraId="133A83F4" w14:textId="77777777" w:rsidR="00063996" w:rsidRPr="00BE1F7D" w:rsidRDefault="00063996" w:rsidP="00063996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Si le </w:t>
      </w:r>
      <w:r w:rsidRPr="00BE1F7D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solde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est </w:t>
      </w:r>
      <w:r w:rsidRPr="00BE1F7D">
        <w:rPr>
          <w:rFonts w:ascii="Calibri" w:eastAsia="Times New Roman" w:hAnsi="Calibri" w:cs="Calibri"/>
          <w:kern w:val="0"/>
          <w:lang w:eastAsia="fr-FR"/>
          <w14:ligatures w14:val="none"/>
        </w:rPr>
        <w:t>négatif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, la part</w:t>
      </w:r>
      <w:r w:rsidRPr="00BE1F7D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e</w:t>
      </w:r>
      <w:r w:rsidRPr="00BE1F7D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n risque significatif de ne pas pouvoir être amortie sur les ventes dans un délai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raisonnable</w:t>
      </w:r>
      <w:r w:rsidRPr="00BE1F7D">
        <w:rPr>
          <w:rFonts w:ascii="Calibri" w:hAnsi="Calibri" w:cs="Calibri"/>
          <w:color w:val="000000" w:themeColor="text1"/>
        </w:rPr>
        <w:t>.</w:t>
      </w:r>
    </w:p>
    <w:p w14:paraId="46E4DA11" w14:textId="77777777" w:rsidR="00063996" w:rsidRDefault="00063996" w:rsidP="00063996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kern w:val="0"/>
          <w:lang w:eastAsia="fr-FR"/>
          <w14:ligatures w14:val="none"/>
        </w:rPr>
        <w:t>L</w:t>
      </w:r>
      <w:r w:rsidRPr="00BE1F7D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es montants au bilan sont actualisés annuellement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à 3% ou a</w:t>
      </w:r>
      <w:r w:rsidRPr="00BE1F7D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u taux d’actualisation national dès qu’il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est</w:t>
      </w:r>
      <w:r w:rsidRPr="00BE1F7D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calculé par les pouvoirs publics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(</w:t>
      </w:r>
      <w:r w:rsidRPr="00BE1F7D">
        <w:rPr>
          <w:rFonts w:ascii="Calibri" w:hAnsi="Calibri" w:cs="Calibri"/>
        </w:rPr>
        <w:t xml:space="preserve">taux de rendement </w:t>
      </w:r>
      <w:r>
        <w:rPr>
          <w:rFonts w:ascii="Calibri" w:hAnsi="Calibri" w:cs="Calibri"/>
        </w:rPr>
        <w:t xml:space="preserve">en décarbonation </w:t>
      </w:r>
      <w:r w:rsidRPr="00BE1F7D">
        <w:rPr>
          <w:rFonts w:ascii="Calibri" w:hAnsi="Calibri" w:cs="Calibri"/>
        </w:rPr>
        <w:t xml:space="preserve">des financements nationaux qui équilibrerait la </w:t>
      </w:r>
      <w:r>
        <w:rPr>
          <w:rFonts w:ascii="Calibri" w:hAnsi="Calibri" w:cs="Calibri"/>
        </w:rPr>
        <w:t xml:space="preserve">valeur actuelle de la </w:t>
      </w:r>
      <w:r w:rsidRPr="00BE1F7D">
        <w:rPr>
          <w:rFonts w:ascii="Calibri" w:hAnsi="Calibri" w:cs="Calibri"/>
        </w:rPr>
        <w:t>trajectoire nationale avec une sécurité suffisante</w:t>
      </w:r>
      <w:r>
        <w:rPr>
          <w:rFonts w:ascii="Calibri" w:hAnsi="Calibri" w:cs="Calibri"/>
        </w:rPr>
        <w:t>)</w:t>
      </w:r>
      <w:r w:rsidRPr="00BE1F7D">
        <w:rPr>
          <w:rFonts w:ascii="Calibri" w:hAnsi="Calibri" w:cs="Calibri"/>
        </w:rPr>
        <w:t>.</w:t>
      </w:r>
    </w:p>
    <w:p w14:paraId="548EA161" w14:textId="77777777" w:rsidR="00063996" w:rsidRPr="00654E83" w:rsidRDefault="00063996" w:rsidP="00063996">
      <w:pPr>
        <w:spacing w:line="240" w:lineRule="auto"/>
        <w:jc w:val="both"/>
        <w:rPr>
          <w:rFonts w:ascii="Calibri" w:eastAsia="Times New Roman" w:hAnsi="Calibri" w:cs="Calibri"/>
          <w:kern w:val="0"/>
          <w:lang w:eastAsia="fr-FR"/>
          <w14:ligatures w14:val="none"/>
        </w:rPr>
      </w:pPr>
      <w:r>
        <w:rPr>
          <w:rFonts w:ascii="Calibri" w:hAnsi="Calibri" w:cs="Calibri"/>
        </w:rPr>
        <w:t>(L’entreprise est encouragée à tenir en hors bilan la trajectoire des décarbonations des projets lancés et des projets à l’étude.)</w:t>
      </w:r>
    </w:p>
    <w:bookmarkEnd w:id="1"/>
    <w:p w14:paraId="64F011DD" w14:textId="77777777" w:rsidR="0098515A" w:rsidRPr="004A7417" w:rsidRDefault="0098515A" w:rsidP="00252E68">
      <w:pPr>
        <w:jc w:val="both"/>
        <w:rPr>
          <w:rFonts w:ascii="Calibri" w:hAnsi="Calibri" w:cs="Calibri"/>
        </w:rPr>
      </w:pPr>
    </w:p>
    <w:bookmarkEnd w:id="0"/>
    <w:p w14:paraId="7CC85FE2" w14:textId="77777777" w:rsidR="00D64AE4" w:rsidRPr="004A7417" w:rsidRDefault="00D64AE4" w:rsidP="00252E68">
      <w:pPr>
        <w:jc w:val="both"/>
        <w:rPr>
          <w:rFonts w:ascii="Calibri" w:eastAsia="Times New Roman" w:hAnsi="Calibri" w:cs="Calibri"/>
          <w:b/>
          <w:bCs/>
          <w:kern w:val="0"/>
          <w:lang w:eastAsia="fr-FR"/>
          <w14:ligatures w14:val="none"/>
        </w:rPr>
      </w:pPr>
      <w:r w:rsidRPr="004A7417">
        <w:rPr>
          <w:rFonts w:ascii="Calibri" w:hAnsi="Calibri" w:cs="Calibri"/>
          <w:b/>
          <w:bCs/>
        </w:rPr>
        <w:br w:type="page"/>
      </w:r>
    </w:p>
    <w:p w14:paraId="103168A3" w14:textId="77777777" w:rsidR="00AA7DEB" w:rsidRPr="004A7417" w:rsidRDefault="00AA7DEB" w:rsidP="00AA7DEB">
      <w:pPr>
        <w:pStyle w:val="NormalWeb"/>
        <w:jc w:val="both"/>
        <w:rPr>
          <w:rStyle w:val="Aucun"/>
          <w:rFonts w:ascii="Calibri" w:eastAsiaTheme="majorEastAsia" w:hAnsi="Calibri" w:cs="Calibri"/>
          <w:b/>
          <w:bCs/>
        </w:rPr>
      </w:pPr>
      <w:bookmarkStart w:id="2" w:name="_Hlk188540943"/>
      <w:r w:rsidRPr="004A7417">
        <w:rPr>
          <w:rFonts w:ascii="Calibri" w:hAnsi="Calibri" w:cs="Calibri"/>
          <w:b/>
          <w:bCs/>
        </w:rPr>
        <w:lastRenderedPageBreak/>
        <w:t>ANNEXE – Formules mathématiques</w:t>
      </w:r>
    </w:p>
    <w:p w14:paraId="5287FAD3" w14:textId="77777777" w:rsidR="00AA7DEB" w:rsidRPr="004A7417" w:rsidRDefault="00AA7DEB" w:rsidP="00AA7DEB">
      <w:pPr>
        <w:pStyle w:val="NormalWeb"/>
        <w:spacing w:before="0" w:beforeAutospacing="0" w:after="0" w:afterAutospacing="0"/>
        <w:jc w:val="both"/>
        <w:rPr>
          <w:rStyle w:val="Aucun"/>
          <w:rFonts w:ascii="Calibri" w:eastAsiaTheme="majorEastAsia" w:hAnsi="Calibri" w:cs="Calibri"/>
        </w:rPr>
      </w:pPr>
      <w:r w:rsidRPr="004A7417">
        <w:rPr>
          <w:rStyle w:val="Aucun"/>
          <w:rFonts w:ascii="Calibri" w:eastAsiaTheme="majorEastAsia" w:hAnsi="Calibri" w:cs="Calibri"/>
        </w:rPr>
        <w:t xml:space="preserve">Le calcul est fait pour chaque </w:t>
      </w:r>
      <w:r>
        <w:rPr>
          <w:rStyle w:val="Aucun"/>
          <w:rFonts w:ascii="Calibri" w:eastAsiaTheme="majorEastAsia" w:hAnsi="Calibri" w:cs="Calibri"/>
        </w:rPr>
        <w:t>compte d’émission de l’entreprise</w:t>
      </w:r>
    </w:p>
    <w:p w14:paraId="45AE40AD" w14:textId="77777777" w:rsidR="00AA7DEB" w:rsidRPr="004A7417" w:rsidRDefault="00AA7DEB" w:rsidP="00AA7DEB">
      <w:pPr>
        <w:pStyle w:val="NormalWeb"/>
        <w:spacing w:before="0" w:beforeAutospacing="0" w:after="0" w:afterAutospacing="0"/>
        <w:jc w:val="both"/>
        <w:rPr>
          <w:rStyle w:val="Aucun"/>
          <w:rFonts w:ascii="Calibri" w:eastAsiaTheme="majorEastAsia" w:hAnsi="Calibri" w:cs="Calibri"/>
          <w:b/>
          <w:bCs/>
        </w:rPr>
      </w:pPr>
      <w:r w:rsidRPr="004A7417">
        <w:rPr>
          <w:rStyle w:val="Aucun"/>
          <w:rFonts w:ascii="Calibri" w:eastAsiaTheme="majorEastAsia" w:hAnsi="Calibri" w:cs="Calibri"/>
          <w:b/>
          <w:bCs/>
        </w:rPr>
        <w:t xml:space="preserve"> </w:t>
      </w:r>
    </w:p>
    <w:p w14:paraId="48F40663" w14:textId="77777777" w:rsidR="00AA7DEB" w:rsidRPr="004A7417" w:rsidRDefault="00AA7DEB" w:rsidP="00AA7DEB">
      <w:pPr>
        <w:pStyle w:val="NormalWeb"/>
        <w:spacing w:before="0" w:beforeAutospacing="0" w:after="0" w:afterAutospacing="0"/>
        <w:jc w:val="both"/>
        <w:rPr>
          <w:rStyle w:val="Aucun"/>
          <w:rFonts w:ascii="Calibri" w:eastAsiaTheme="majorEastAsia" w:hAnsi="Calibri" w:cs="Calibri"/>
          <w:b/>
          <w:bCs/>
        </w:rPr>
      </w:pPr>
      <w:r w:rsidRPr="004A7417">
        <w:rPr>
          <w:rStyle w:val="Aucun"/>
          <w:rFonts w:ascii="Calibri" w:eastAsiaTheme="majorEastAsia" w:hAnsi="Calibri" w:cs="Calibri"/>
          <w:b/>
          <w:bCs/>
        </w:rPr>
        <w:t>L’émission unitaire des ventes</w:t>
      </w:r>
    </w:p>
    <w:p w14:paraId="54A5E020" w14:textId="77777777" w:rsidR="00AA7DEB" w:rsidRPr="004A7417" w:rsidRDefault="00000000" w:rsidP="00AA7DEB">
      <w:pPr>
        <w:pStyle w:val="NormalWeb"/>
        <w:spacing w:before="0" w:beforeAutospacing="0" w:after="0" w:afterAutospacing="0"/>
        <w:ind w:left="708"/>
        <w:jc w:val="both"/>
        <w:rPr>
          <w:rFonts w:ascii="Calibri" w:eastAsiaTheme="majorEastAsia" w:hAnsi="Calibri" w:cs="Calibri"/>
          <w:i/>
          <w:iCs/>
        </w:rPr>
      </w:pPr>
      <m:oMath>
        <m:sSub>
          <m:sSubPr>
            <m:ctrlPr>
              <w:rPr>
                <w:rStyle w:val="Aucun"/>
                <w:rFonts w:ascii="Cambria Math" w:eastAsiaTheme="majorEastAsia" w:hAnsi="Cambria Math" w:cs="Calibri"/>
                <w:i/>
                <w:iCs/>
              </w:rPr>
            </m:ctrlPr>
          </m:sSubPr>
          <m:e>
            <m:r>
              <w:rPr>
                <w:rStyle w:val="Aucun"/>
                <w:rFonts w:ascii="Cambria Math" w:eastAsiaTheme="majorEastAsia" w:hAnsi="Cambria Math" w:cs="Calibri"/>
              </w:rPr>
              <m:t>p</m:t>
            </m:r>
          </m:e>
          <m:sub>
            <m:r>
              <w:rPr>
                <w:rStyle w:val="Aucun"/>
                <w:rFonts w:ascii="Cambria Math" w:eastAsiaTheme="majorEastAsia" w:hAnsi="Cambria Math" w:cs="Calibri"/>
              </w:rPr>
              <m:t>1</m:t>
            </m:r>
          </m:sub>
        </m:sSub>
      </m:oMath>
      <w:r w:rsidR="00AA7DEB" w:rsidRPr="004A7417">
        <w:rPr>
          <w:rStyle w:val="Aucun"/>
          <w:rFonts w:ascii="Calibri" w:eastAsiaTheme="majorEastAsia" w:hAnsi="Calibri" w:cs="Calibri"/>
        </w:rPr>
        <w:t xml:space="preserve">, l’émission unitaire d’une vente, est la somme des intrants nécessaires divisée par la quantité d’unités vendues. Si </w:t>
      </w:r>
      <m:oMath>
        <m:sSub>
          <m:sSubPr>
            <m:ctrlPr>
              <w:rPr>
                <w:rStyle w:val="Aucun"/>
                <w:rFonts w:ascii="Cambria Math" w:eastAsiaTheme="majorEastAsia" w:hAnsi="Cambria Math" w:cs="Calibri"/>
                <w:i/>
                <w:iCs/>
              </w:rPr>
            </m:ctrlPr>
          </m:sSubPr>
          <m:e>
            <m:r>
              <w:rPr>
                <w:rStyle w:val="Aucun"/>
                <w:rFonts w:ascii="Cambria Math" w:eastAsiaTheme="majorEastAsia" w:hAnsi="Cambria Math" w:cs="Calibri"/>
              </w:rPr>
              <m:t>k</m:t>
            </m:r>
          </m:e>
          <m:sub>
            <m:r>
              <w:rPr>
                <w:rStyle w:val="Aucun"/>
                <w:rFonts w:ascii="Cambria Math" w:eastAsiaTheme="majorEastAsia" w:hAnsi="Cambria Math" w:cs="Calibri"/>
              </w:rPr>
              <m:t>i1</m:t>
            </m:r>
          </m:sub>
        </m:sSub>
      </m:oMath>
      <w:r w:rsidR="00AA7DEB" w:rsidRPr="004A7417">
        <w:rPr>
          <w:rStyle w:val="Aucun"/>
          <w:rFonts w:ascii="Calibri" w:eastAsiaTheme="majorEastAsia" w:hAnsi="Calibri" w:cs="Calibri"/>
        </w:rPr>
        <w:t xml:space="preserve"> and </w:t>
      </w:r>
      <m:oMath>
        <m:sSub>
          <m:sSubPr>
            <m:ctrlPr>
              <w:rPr>
                <w:rStyle w:val="Aucun"/>
                <w:rFonts w:ascii="Cambria Math" w:eastAsiaTheme="majorEastAsia" w:hAnsi="Cambria Math" w:cs="Calibri"/>
                <w:i/>
                <w:iCs/>
              </w:rPr>
            </m:ctrlPr>
          </m:sSubPr>
          <m:e>
            <m:r>
              <w:rPr>
                <w:rStyle w:val="Aucun"/>
                <w:rFonts w:ascii="Cambria Math" w:eastAsiaTheme="majorEastAsia" w:hAnsi="Cambria Math" w:cs="Calibri"/>
              </w:rPr>
              <m:t>p</m:t>
            </m:r>
          </m:e>
          <m:sub>
            <m:r>
              <w:rPr>
                <w:rStyle w:val="Aucun"/>
                <w:rFonts w:ascii="Cambria Math" w:eastAsiaTheme="majorEastAsia" w:hAnsi="Cambria Math" w:cs="Calibri"/>
              </w:rPr>
              <m:t>i1</m:t>
            </m:r>
          </m:sub>
        </m:sSub>
      </m:oMath>
      <w:r w:rsidR="00AA7DEB" w:rsidRPr="004A7417">
        <w:rPr>
          <w:rStyle w:val="Aucun"/>
          <w:rFonts w:ascii="Calibri" w:eastAsiaTheme="majorEastAsia" w:hAnsi="Calibri" w:cs="Calibri"/>
        </w:rPr>
        <w:t xml:space="preserve"> sont les quantités et émissions unitaires des intrants i nécessaires pour produire une unité vendue l’année 1,</w:t>
      </w:r>
      <w:r w:rsidR="00AA7DEB" w:rsidRPr="004A7417">
        <w:rPr>
          <w:rStyle w:val="Aucun"/>
          <w:rFonts w:ascii="Calibri" w:eastAsiaTheme="majorEastAsia" w:hAnsi="Calibri" w:cs="Calibri"/>
          <w:i/>
          <w:iCs/>
        </w:rPr>
        <w:t xml:space="preserve"> </w:t>
      </w:r>
      <m:oMath>
        <m:sSub>
          <m:sSubPr>
            <m:ctrlPr>
              <w:rPr>
                <w:rStyle w:val="Aucun"/>
                <w:rFonts w:ascii="Cambria Math" w:eastAsiaTheme="majorEastAsia" w:hAnsi="Cambria Math" w:cs="Calibri"/>
                <w:i/>
                <w:iCs/>
              </w:rPr>
            </m:ctrlPr>
          </m:sSubPr>
          <m:e>
            <m:r>
              <w:rPr>
                <w:rStyle w:val="Aucun"/>
                <w:rFonts w:ascii="Cambria Math" w:eastAsiaTheme="majorEastAsia" w:hAnsi="Cambria Math" w:cs="Calibri"/>
              </w:rPr>
              <m:t>p</m:t>
            </m:r>
          </m:e>
          <m:sub>
            <m:r>
              <w:rPr>
                <w:rStyle w:val="Aucun"/>
                <w:rFonts w:ascii="Cambria Math" w:eastAsiaTheme="majorEastAsia" w:hAnsi="Cambria Math" w:cs="Calibri"/>
              </w:rPr>
              <m:t>1</m:t>
            </m:r>
          </m:sub>
        </m:sSub>
        <m:r>
          <w:rPr>
            <w:rStyle w:val="Aucun"/>
            <w:rFonts w:ascii="Cambria Math" w:eastAsiaTheme="majorEastAsia" w:hAnsi="Cambria Math" w:cs="Calibri"/>
          </w:rPr>
          <m:t>=</m:t>
        </m:r>
        <m:nary>
          <m:naryPr>
            <m:chr m:val="∑"/>
            <m:limLoc m:val="subSup"/>
            <m:supHide m:val="1"/>
            <m:ctrlPr>
              <w:rPr>
                <w:rStyle w:val="Aucun"/>
                <w:rFonts w:ascii="Cambria Math" w:eastAsiaTheme="majorEastAsia" w:hAnsi="Cambria Math" w:cs="Calibri"/>
                <w:i/>
                <w:iCs/>
              </w:rPr>
            </m:ctrlPr>
          </m:naryPr>
          <m:sub>
            <m:r>
              <w:rPr>
                <w:rStyle w:val="Aucun"/>
                <w:rFonts w:ascii="Cambria Math" w:eastAsiaTheme="majorEastAsia" w:hAnsi="Cambria Math" w:cs="Calibri"/>
              </w:rPr>
              <m:t>i</m:t>
            </m:r>
          </m:sub>
          <m:sup/>
          <m:e>
            <m:sSub>
              <m:sSubPr>
                <m:ctrlPr>
                  <w:rPr>
                    <w:rStyle w:val="Aucun"/>
                    <w:rFonts w:ascii="Cambria Math" w:eastAsiaTheme="majorEastAsia" w:hAnsi="Cambria Math" w:cs="Calibri"/>
                    <w:i/>
                    <w:iCs/>
                  </w:rPr>
                </m:ctrlPr>
              </m:sSubPr>
              <m:e>
                <m:r>
                  <w:rPr>
                    <w:rStyle w:val="Aucun"/>
                    <w:rFonts w:ascii="Cambria Math" w:eastAsiaTheme="majorEastAsia" w:hAnsi="Cambria Math" w:cs="Calibri"/>
                  </w:rPr>
                  <m:t>p</m:t>
                </m:r>
              </m:e>
              <m:sub>
                <m:r>
                  <w:rPr>
                    <w:rStyle w:val="Aucun"/>
                    <w:rFonts w:ascii="Cambria Math" w:eastAsiaTheme="majorEastAsia" w:hAnsi="Cambria Math" w:cs="Calibri"/>
                  </w:rPr>
                  <m:t>i1</m:t>
                </m:r>
              </m:sub>
            </m:sSub>
          </m:e>
        </m:nary>
        <m:sSub>
          <m:sSubPr>
            <m:ctrlPr>
              <w:rPr>
                <w:rStyle w:val="Aucun"/>
                <w:rFonts w:ascii="Cambria Math" w:eastAsiaTheme="majorEastAsia" w:hAnsi="Cambria Math" w:cs="Calibri"/>
                <w:i/>
                <w:iCs/>
              </w:rPr>
            </m:ctrlPr>
          </m:sSubPr>
          <m:e>
            <m:r>
              <w:rPr>
                <w:rStyle w:val="Aucun"/>
                <w:rFonts w:ascii="Cambria Math" w:eastAsiaTheme="majorEastAsia" w:hAnsi="Cambria Math" w:cs="Calibri"/>
              </w:rPr>
              <m:t>k</m:t>
            </m:r>
          </m:e>
          <m:sub>
            <m:r>
              <w:rPr>
                <w:rStyle w:val="Aucun"/>
                <w:rFonts w:ascii="Cambria Math" w:eastAsiaTheme="majorEastAsia" w:hAnsi="Cambria Math" w:cs="Calibri"/>
              </w:rPr>
              <m:t>i1</m:t>
            </m:r>
          </m:sub>
        </m:sSub>
      </m:oMath>
      <w:r w:rsidR="00AA7DEB" w:rsidRPr="004A7417">
        <w:rPr>
          <w:rStyle w:val="Aucun"/>
          <w:rFonts w:ascii="Calibri" w:eastAsiaTheme="majorEastAsia" w:hAnsi="Calibri" w:cs="Calibri"/>
        </w:rPr>
        <w:t xml:space="preserve">    </w:t>
      </w:r>
    </w:p>
    <w:p w14:paraId="7A94157F" w14:textId="77777777" w:rsidR="00AA7DEB" w:rsidRPr="004A7417" w:rsidRDefault="00AA7DEB" w:rsidP="00AA7DEB">
      <w:pPr>
        <w:pStyle w:val="NormalWeb"/>
        <w:spacing w:before="240" w:beforeAutospacing="0" w:after="0" w:afterAutospacing="0"/>
        <w:jc w:val="both"/>
        <w:rPr>
          <w:rFonts w:ascii="Calibri" w:hAnsi="Calibri" w:cs="Calibri"/>
          <w:b/>
          <w:bCs/>
        </w:rPr>
      </w:pPr>
      <w:r w:rsidRPr="004A7417">
        <w:rPr>
          <w:rFonts w:ascii="Calibri" w:hAnsi="Calibri" w:cs="Calibri"/>
          <w:b/>
          <w:bCs/>
        </w:rPr>
        <w:t>La variation d’émissions</w:t>
      </w:r>
    </w:p>
    <w:p w14:paraId="1E099C3B" w14:textId="77777777" w:rsidR="00AA7DEB" w:rsidRPr="004A7417" w:rsidRDefault="00AA7DEB" w:rsidP="00AA7DEB">
      <w:pPr>
        <w:pStyle w:val="NormalWeb"/>
        <w:spacing w:before="0" w:beforeAutospacing="0"/>
        <w:ind w:left="708"/>
        <w:jc w:val="both"/>
        <w:rPr>
          <w:rFonts w:ascii="Calibri" w:hAnsi="Calibri" w:cs="Calibri"/>
          <w:i/>
          <w:iCs/>
        </w:rPr>
      </w:pPr>
      <w:r w:rsidRPr="004A7417">
        <w:rPr>
          <w:rStyle w:val="Aucun"/>
          <w:rFonts w:ascii="Calibri" w:eastAsiaTheme="majorEastAsia" w:hAnsi="Calibri" w:cs="Calibri"/>
        </w:rPr>
        <w:t xml:space="preserve">Si Q1 et Q2 sont les quantités vendues les années 1 et 2, la variation peut être présentée comme la somme d’un effet « variation de la quantité vendue » et un effet « variation de la qualité ou émission unitaire » : </w:t>
      </w:r>
      <m:oMath>
        <m:sSub>
          <m:sSubPr>
            <m:ctrlPr>
              <w:rPr>
                <w:rStyle w:val="Aucun"/>
                <w:rFonts w:ascii="Cambria Math" w:eastAsiaTheme="majorEastAsia" w:hAnsi="Cambria Math" w:cs="Calibri"/>
                <w:i/>
                <w:iCs/>
              </w:rPr>
            </m:ctrlPr>
          </m:sSubPr>
          <m:e>
            <m:sSub>
              <m:sSubPr>
                <m:ctrlPr>
                  <w:rPr>
                    <w:rStyle w:val="Aucun"/>
                    <w:rFonts w:ascii="Cambria Math" w:eastAsiaTheme="majorEastAsia" w:hAnsi="Cambria Math" w:cs="Calibri"/>
                    <w:i/>
                    <w:iCs/>
                  </w:rPr>
                </m:ctrlPr>
              </m:sSubPr>
              <m:e>
                <m:r>
                  <w:rPr>
                    <w:rStyle w:val="Aucun"/>
                    <w:rFonts w:ascii="Cambria Math" w:eastAsiaTheme="majorEastAsia" w:hAnsi="Cambria Math" w:cs="Calibri"/>
                  </w:rPr>
                  <m:t>p</m:t>
                </m:r>
              </m:e>
              <m:sub>
                <m:r>
                  <w:rPr>
                    <w:rStyle w:val="Aucun"/>
                    <w:rFonts w:ascii="Cambria Math" w:eastAsiaTheme="majorEastAsia" w:hAnsi="Cambria Math" w:cs="Calibri"/>
                  </w:rPr>
                  <m:t>1</m:t>
                </m:r>
              </m:sub>
            </m:sSub>
            <m:sSub>
              <m:sSubPr>
                <m:ctrlPr>
                  <w:rPr>
                    <w:rStyle w:val="Aucun"/>
                    <w:rFonts w:ascii="Cambria Math" w:eastAsiaTheme="majorEastAsia" w:hAnsi="Cambria Math" w:cs="Calibri"/>
                    <w:i/>
                    <w:iCs/>
                  </w:rPr>
                </m:ctrlPr>
              </m:sSubPr>
              <m:e>
                <m:r>
                  <w:rPr>
                    <w:rStyle w:val="Aucun"/>
                    <w:rFonts w:ascii="Cambria Math" w:eastAsiaTheme="majorEastAsia" w:hAnsi="Cambria Math" w:cs="Calibri"/>
                  </w:rPr>
                  <m:t>Q</m:t>
                </m:r>
              </m:e>
              <m:sub>
                <m:r>
                  <w:rPr>
                    <w:rStyle w:val="Aucun"/>
                    <w:rFonts w:ascii="Cambria Math" w:eastAsiaTheme="majorEastAsia" w:hAnsi="Cambria Math" w:cs="Calibri"/>
                  </w:rPr>
                  <m:t>1</m:t>
                </m:r>
              </m:sub>
            </m:sSub>
            <m:r>
              <w:rPr>
                <w:rStyle w:val="Aucun"/>
                <w:rFonts w:ascii="Cambria Math" w:eastAsiaTheme="majorEastAsia" w:hAnsi="Cambria Math" w:cs="Calibri"/>
              </w:rPr>
              <m:t>-</m:t>
            </m:r>
            <m:sSub>
              <m:sSubPr>
                <m:ctrlPr>
                  <w:rPr>
                    <w:rStyle w:val="Aucun"/>
                    <w:rFonts w:ascii="Cambria Math" w:eastAsiaTheme="majorEastAsia" w:hAnsi="Cambria Math" w:cs="Calibri"/>
                    <w:i/>
                    <w:iCs/>
                  </w:rPr>
                </m:ctrlPr>
              </m:sSubPr>
              <m:e>
                <m:r>
                  <w:rPr>
                    <w:rStyle w:val="Aucun"/>
                    <w:rFonts w:ascii="Cambria Math" w:eastAsiaTheme="majorEastAsia" w:hAnsi="Cambria Math" w:cs="Calibri"/>
                  </w:rPr>
                  <m:t>p</m:t>
                </m:r>
              </m:e>
              <m:sub>
                <m:r>
                  <w:rPr>
                    <w:rStyle w:val="Aucun"/>
                    <w:rFonts w:ascii="Cambria Math" w:eastAsiaTheme="majorEastAsia" w:hAnsi="Cambria Math" w:cs="Calibri"/>
                  </w:rPr>
                  <m:t>2</m:t>
                </m:r>
              </m:sub>
            </m:sSub>
            <m:sSub>
              <m:sSubPr>
                <m:ctrlPr>
                  <w:rPr>
                    <w:rStyle w:val="Aucun"/>
                    <w:rFonts w:ascii="Cambria Math" w:eastAsiaTheme="majorEastAsia" w:hAnsi="Cambria Math" w:cs="Calibri"/>
                    <w:i/>
                    <w:iCs/>
                  </w:rPr>
                </m:ctrlPr>
              </m:sSubPr>
              <m:e>
                <m:r>
                  <w:rPr>
                    <w:rStyle w:val="Aucun"/>
                    <w:rFonts w:ascii="Cambria Math" w:eastAsiaTheme="majorEastAsia" w:hAnsi="Cambria Math" w:cs="Calibri"/>
                  </w:rPr>
                  <m:t>Q</m:t>
                </m:r>
              </m:e>
              <m:sub>
                <m:r>
                  <w:rPr>
                    <w:rStyle w:val="Aucun"/>
                    <w:rFonts w:ascii="Cambria Math" w:eastAsiaTheme="majorEastAsia" w:hAnsi="Cambria Math" w:cs="Calibri"/>
                  </w:rPr>
                  <m:t>2</m:t>
                </m:r>
              </m:sub>
            </m:sSub>
            <m:r>
              <w:rPr>
                <w:rStyle w:val="Aucun"/>
                <w:rFonts w:ascii="Cambria Math" w:eastAsiaTheme="majorEastAsia" w:hAnsi="Cambria Math" w:cs="Calibri"/>
              </w:rPr>
              <m:t>= Q</m:t>
            </m:r>
          </m:e>
          <m:sub>
            <m:r>
              <w:rPr>
                <w:rStyle w:val="Aucun"/>
                <w:rFonts w:ascii="Cambria Math" w:eastAsiaTheme="majorEastAsia" w:hAnsi="Cambria Math" w:cs="Calibri"/>
              </w:rPr>
              <m:t>1</m:t>
            </m:r>
          </m:sub>
        </m:sSub>
        <m:d>
          <m:dPr>
            <m:ctrlPr>
              <w:rPr>
                <w:rStyle w:val="Aucun"/>
                <w:rFonts w:ascii="Cambria Math" w:eastAsiaTheme="majorEastAsia" w:hAnsi="Cambria Math" w:cs="Calibri"/>
                <w:i/>
                <w:iCs/>
              </w:rPr>
            </m:ctrlPr>
          </m:dPr>
          <m:e>
            <m:sSub>
              <m:sSubPr>
                <m:ctrlPr>
                  <w:rPr>
                    <w:rStyle w:val="Aucun"/>
                    <w:rFonts w:ascii="Cambria Math" w:eastAsiaTheme="majorEastAsia" w:hAnsi="Cambria Math" w:cs="Calibri"/>
                    <w:i/>
                    <w:iCs/>
                  </w:rPr>
                </m:ctrlPr>
              </m:sSubPr>
              <m:e>
                <m:r>
                  <w:rPr>
                    <w:rStyle w:val="Aucun"/>
                    <w:rFonts w:ascii="Cambria Math" w:eastAsiaTheme="majorEastAsia" w:hAnsi="Cambria Math" w:cs="Calibri"/>
                  </w:rPr>
                  <m:t>p</m:t>
                </m:r>
              </m:e>
              <m:sub>
                <m:r>
                  <w:rPr>
                    <w:rStyle w:val="Aucun"/>
                    <w:rFonts w:ascii="Cambria Math" w:eastAsiaTheme="majorEastAsia" w:hAnsi="Cambria Math" w:cs="Calibri"/>
                  </w:rPr>
                  <m:t>1</m:t>
                </m:r>
              </m:sub>
            </m:sSub>
            <m:r>
              <w:rPr>
                <w:rStyle w:val="Aucun"/>
                <w:rFonts w:ascii="Cambria Math" w:eastAsiaTheme="majorEastAsia" w:hAnsi="Cambria Math" w:cs="Calibri"/>
              </w:rPr>
              <m:t>-</m:t>
            </m:r>
            <m:sSub>
              <m:sSubPr>
                <m:ctrlPr>
                  <w:rPr>
                    <w:rStyle w:val="Aucun"/>
                    <w:rFonts w:ascii="Cambria Math" w:eastAsiaTheme="majorEastAsia" w:hAnsi="Cambria Math" w:cs="Calibri"/>
                    <w:i/>
                    <w:iCs/>
                  </w:rPr>
                </m:ctrlPr>
              </m:sSubPr>
              <m:e>
                <m:r>
                  <w:rPr>
                    <w:rStyle w:val="Aucun"/>
                    <w:rFonts w:ascii="Cambria Math" w:eastAsiaTheme="majorEastAsia" w:hAnsi="Cambria Math" w:cs="Calibri"/>
                  </w:rPr>
                  <m:t>p</m:t>
                </m:r>
              </m:e>
              <m:sub>
                <m:r>
                  <w:rPr>
                    <w:rStyle w:val="Aucun"/>
                    <w:rFonts w:ascii="Cambria Math" w:eastAsiaTheme="majorEastAsia" w:hAnsi="Cambria Math" w:cs="Calibri"/>
                  </w:rPr>
                  <m:t>2</m:t>
                </m:r>
              </m:sub>
            </m:sSub>
          </m:e>
        </m:d>
        <m:r>
          <w:rPr>
            <w:rStyle w:val="Aucun"/>
            <w:rFonts w:ascii="Cambria Math" w:eastAsiaTheme="majorEastAsia" w:hAnsi="Cambria Math" w:cs="Calibri"/>
          </w:rPr>
          <m:t>+</m:t>
        </m:r>
        <m:sSub>
          <m:sSubPr>
            <m:ctrlPr>
              <w:rPr>
                <w:rStyle w:val="Aucun"/>
                <w:rFonts w:ascii="Cambria Math" w:eastAsiaTheme="majorEastAsia" w:hAnsi="Cambria Math" w:cs="Calibri"/>
                <w:i/>
                <w:iCs/>
              </w:rPr>
            </m:ctrlPr>
          </m:sSubPr>
          <m:e>
            <m:r>
              <w:rPr>
                <w:rStyle w:val="Aucun"/>
                <w:rFonts w:ascii="Cambria Math" w:eastAsiaTheme="majorEastAsia" w:hAnsi="Cambria Math" w:cs="Calibri"/>
              </w:rPr>
              <m:t>p</m:t>
            </m:r>
          </m:e>
          <m:sub>
            <m:r>
              <w:rPr>
                <w:rStyle w:val="Aucun"/>
                <w:rFonts w:ascii="Cambria Math" w:eastAsiaTheme="majorEastAsia" w:hAnsi="Cambria Math" w:cs="Calibri"/>
              </w:rPr>
              <m:t>2</m:t>
            </m:r>
          </m:sub>
        </m:sSub>
        <m:r>
          <w:rPr>
            <w:rStyle w:val="Aucun"/>
            <w:rFonts w:ascii="Cambria Math" w:eastAsiaTheme="majorEastAsia" w:hAnsi="Cambria Math" w:cs="Calibri"/>
          </w:rPr>
          <m:t>(</m:t>
        </m:r>
        <m:sSub>
          <m:sSubPr>
            <m:ctrlPr>
              <w:rPr>
                <w:rStyle w:val="Aucun"/>
                <w:rFonts w:ascii="Cambria Math" w:eastAsiaTheme="majorEastAsia" w:hAnsi="Cambria Math" w:cs="Calibri"/>
                <w:i/>
                <w:iCs/>
              </w:rPr>
            </m:ctrlPr>
          </m:sSubPr>
          <m:e>
            <m:r>
              <w:rPr>
                <w:rStyle w:val="Aucun"/>
                <w:rFonts w:ascii="Cambria Math" w:eastAsiaTheme="majorEastAsia" w:hAnsi="Cambria Math" w:cs="Calibri"/>
              </w:rPr>
              <m:t>Q</m:t>
            </m:r>
          </m:e>
          <m:sub>
            <m:r>
              <w:rPr>
                <w:rStyle w:val="Aucun"/>
                <w:rFonts w:ascii="Cambria Math" w:eastAsiaTheme="majorEastAsia" w:hAnsi="Cambria Math" w:cs="Calibri"/>
              </w:rPr>
              <m:t>1</m:t>
            </m:r>
          </m:sub>
        </m:sSub>
        <m:r>
          <w:rPr>
            <w:rStyle w:val="Aucun"/>
            <w:rFonts w:ascii="Cambria Math" w:eastAsiaTheme="majorEastAsia" w:hAnsi="Cambria Math" w:cs="Calibri"/>
          </w:rPr>
          <m:t>-</m:t>
        </m:r>
        <m:sSub>
          <m:sSubPr>
            <m:ctrlPr>
              <w:rPr>
                <w:rStyle w:val="Aucun"/>
                <w:rFonts w:ascii="Cambria Math" w:eastAsiaTheme="majorEastAsia" w:hAnsi="Cambria Math" w:cs="Calibri"/>
                <w:i/>
                <w:iCs/>
              </w:rPr>
            </m:ctrlPr>
          </m:sSubPr>
          <m:e>
            <m:r>
              <w:rPr>
                <w:rStyle w:val="Aucun"/>
                <w:rFonts w:ascii="Cambria Math" w:eastAsiaTheme="majorEastAsia" w:hAnsi="Cambria Math" w:cs="Calibri"/>
              </w:rPr>
              <m:t>Q</m:t>
            </m:r>
          </m:e>
          <m:sub>
            <m:r>
              <w:rPr>
                <w:rStyle w:val="Aucun"/>
                <w:rFonts w:ascii="Cambria Math" w:eastAsiaTheme="majorEastAsia" w:hAnsi="Cambria Math" w:cs="Calibri"/>
              </w:rPr>
              <m:t>2</m:t>
            </m:r>
          </m:sub>
        </m:sSub>
        <m:r>
          <w:rPr>
            <w:rStyle w:val="Aucun"/>
            <w:rFonts w:ascii="Cambria Math" w:eastAsiaTheme="majorEastAsia" w:hAnsi="Cambria Math" w:cs="Calibri"/>
          </w:rPr>
          <m:t>)</m:t>
        </m:r>
      </m:oMath>
      <w:r w:rsidRPr="004A7417">
        <w:rPr>
          <w:rStyle w:val="Aucun"/>
          <w:rFonts w:ascii="Calibri" w:eastAsiaTheme="majorEastAsia" w:hAnsi="Calibri" w:cs="Calibri"/>
        </w:rPr>
        <w:t xml:space="preserve"> </w:t>
      </w:r>
    </w:p>
    <w:p w14:paraId="71BB36E8" w14:textId="77777777" w:rsidR="00AA7DEB" w:rsidRPr="004A7417" w:rsidRDefault="00AA7DEB" w:rsidP="00AA7DE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  <w:r w:rsidRPr="004A7417">
        <w:rPr>
          <w:rFonts w:ascii="Calibri" w:hAnsi="Calibri" w:cs="Calibri"/>
          <w:b/>
          <w:bCs/>
        </w:rPr>
        <w:t xml:space="preserve">La décarbonation </w:t>
      </w:r>
      <w:r>
        <w:rPr>
          <w:rFonts w:ascii="Calibri" w:hAnsi="Calibri" w:cs="Calibri"/>
          <w:b/>
          <w:bCs/>
        </w:rPr>
        <w:t xml:space="preserve">de productivité </w:t>
      </w:r>
      <w:r w:rsidRPr="004A7417">
        <w:rPr>
          <w:rFonts w:ascii="Calibri" w:hAnsi="Calibri" w:cs="Calibri"/>
          <w:b/>
          <w:bCs/>
        </w:rPr>
        <w:t>due à la variation de l’émission unitaire</w:t>
      </w:r>
      <w:r w:rsidRPr="004A7417">
        <w:rPr>
          <w:rStyle w:val="Appelnotedebasdep"/>
          <w:rFonts w:ascii="Calibri" w:hAnsi="Calibri" w:cs="Calibri"/>
          <w:i/>
          <w:iCs/>
        </w:rPr>
        <w:footnoteReference w:id="1"/>
      </w:r>
      <w:r w:rsidRPr="004A7417">
        <w:rPr>
          <w:rFonts w:ascii="Calibri" w:hAnsi="Calibri" w:cs="Calibri"/>
          <w:b/>
          <w:bCs/>
        </w:rPr>
        <w:t xml:space="preserve"> </w:t>
      </w:r>
      <w:r w:rsidRPr="004A7417">
        <w:rPr>
          <w:rFonts w:ascii="Calibri" w:hAnsi="Calibri" w:cs="Calibri"/>
          <w:b/>
          <w:bCs/>
          <w:i/>
          <w:iCs/>
        </w:rPr>
        <w:t>Q</w:t>
      </w:r>
      <w:r w:rsidRPr="004A7417">
        <w:rPr>
          <w:rFonts w:ascii="Calibri" w:hAnsi="Calibri" w:cs="Calibri"/>
          <w:b/>
          <w:bCs/>
          <w:i/>
          <w:iCs/>
          <w:vertAlign w:val="subscript"/>
        </w:rPr>
        <w:t>1</w:t>
      </w:r>
      <w:r w:rsidRPr="004A7417">
        <w:rPr>
          <w:rFonts w:ascii="Calibri" w:hAnsi="Calibri" w:cs="Calibri"/>
          <w:b/>
          <w:bCs/>
        </w:rPr>
        <w:t>(</w:t>
      </w:r>
      <w:r w:rsidRPr="004A7417">
        <w:rPr>
          <w:rFonts w:ascii="Calibri" w:hAnsi="Calibri" w:cs="Calibri"/>
          <w:b/>
          <w:bCs/>
          <w:i/>
          <w:iCs/>
        </w:rPr>
        <w:t>p</w:t>
      </w:r>
      <w:r w:rsidRPr="004A7417">
        <w:rPr>
          <w:rFonts w:ascii="Calibri" w:hAnsi="Calibri" w:cs="Calibri"/>
          <w:b/>
          <w:bCs/>
          <w:i/>
          <w:iCs/>
          <w:vertAlign w:val="subscript"/>
        </w:rPr>
        <w:t>1</w:t>
      </w:r>
      <w:r w:rsidRPr="004A7417">
        <w:rPr>
          <w:rFonts w:ascii="Calibri" w:hAnsi="Calibri" w:cs="Calibri"/>
          <w:b/>
          <w:bCs/>
        </w:rPr>
        <w:t>-</w:t>
      </w:r>
      <w:r w:rsidRPr="004A7417">
        <w:rPr>
          <w:rFonts w:ascii="Calibri" w:hAnsi="Calibri" w:cs="Calibri"/>
          <w:b/>
          <w:bCs/>
          <w:i/>
          <w:iCs/>
        </w:rPr>
        <w:t>p</w:t>
      </w:r>
      <w:r w:rsidRPr="004A7417">
        <w:rPr>
          <w:rFonts w:ascii="Calibri" w:hAnsi="Calibri" w:cs="Calibri"/>
          <w:b/>
          <w:bCs/>
          <w:i/>
          <w:iCs/>
          <w:vertAlign w:val="subscript"/>
        </w:rPr>
        <w:t>2</w:t>
      </w:r>
      <w:r w:rsidRPr="004A7417">
        <w:rPr>
          <w:rFonts w:ascii="Calibri" w:hAnsi="Calibri" w:cs="Calibri"/>
          <w:b/>
          <w:bCs/>
        </w:rPr>
        <w:t>)</w:t>
      </w:r>
    </w:p>
    <w:p w14:paraId="36365A51" w14:textId="77777777" w:rsidR="00AA7DEB" w:rsidRPr="004A7417" w:rsidRDefault="00AA7DEB" w:rsidP="00AA7DEB">
      <w:pPr>
        <w:pStyle w:val="NormalWeb"/>
        <w:spacing w:before="0" w:beforeAutospacing="0" w:after="0" w:afterAutospacing="0"/>
        <w:ind w:left="708"/>
        <w:jc w:val="both"/>
        <w:rPr>
          <w:rStyle w:val="Aucun"/>
          <w:rFonts w:ascii="Calibri" w:eastAsiaTheme="majorEastAsia" w:hAnsi="Calibri" w:cs="Calibri"/>
          <w:i/>
          <w:iCs/>
        </w:rPr>
      </w:pPr>
      <w:r w:rsidRPr="004A7417">
        <w:rPr>
          <w:rStyle w:val="Aucun"/>
          <w:rFonts w:ascii="Calibri" w:eastAsiaTheme="majorEastAsia" w:hAnsi="Calibri" w:cs="Calibri"/>
        </w:rPr>
        <w:t xml:space="preserve">Si </w:t>
      </w:r>
      <m:oMath>
        <m:sSub>
          <m:sSubPr>
            <m:ctrlPr>
              <w:rPr>
                <w:rStyle w:val="Aucun"/>
                <w:rFonts w:ascii="Cambria Math" w:eastAsiaTheme="majorEastAsia" w:hAnsi="Cambria Math" w:cs="Calibri"/>
                <w:i/>
                <w:iCs/>
              </w:rPr>
            </m:ctrlPr>
          </m:sSubPr>
          <m:e>
            <m:r>
              <w:rPr>
                <w:rStyle w:val="Aucun"/>
                <w:rFonts w:ascii="Cambria Math" w:eastAsiaTheme="majorEastAsia" w:hAnsi="Cambria Math" w:cs="Calibri"/>
              </w:rPr>
              <m:t>k</m:t>
            </m:r>
          </m:e>
          <m:sub>
            <m:r>
              <w:rPr>
                <w:rStyle w:val="Aucun"/>
                <w:rFonts w:ascii="Cambria Math" w:eastAsiaTheme="majorEastAsia" w:hAnsi="Cambria Math" w:cs="Calibri"/>
              </w:rPr>
              <m:t>i2</m:t>
            </m:r>
          </m:sub>
        </m:sSub>
      </m:oMath>
      <w:r w:rsidRPr="004A7417">
        <w:rPr>
          <w:rStyle w:val="Aucun"/>
          <w:rFonts w:ascii="Calibri" w:eastAsiaTheme="majorEastAsia" w:hAnsi="Calibri" w:cs="Calibri"/>
        </w:rPr>
        <w:t xml:space="preserve"> et </w:t>
      </w:r>
      <m:oMath>
        <m:sSub>
          <m:sSubPr>
            <m:ctrlPr>
              <w:rPr>
                <w:rStyle w:val="Aucun"/>
                <w:rFonts w:ascii="Cambria Math" w:eastAsiaTheme="majorEastAsia" w:hAnsi="Cambria Math" w:cs="Calibri"/>
                <w:i/>
                <w:iCs/>
              </w:rPr>
            </m:ctrlPr>
          </m:sSubPr>
          <m:e>
            <m:r>
              <w:rPr>
                <w:rStyle w:val="Aucun"/>
                <w:rFonts w:ascii="Cambria Math" w:eastAsiaTheme="majorEastAsia" w:hAnsi="Cambria Math" w:cs="Calibri"/>
              </w:rPr>
              <m:t>p</m:t>
            </m:r>
          </m:e>
          <m:sub>
            <m:r>
              <w:rPr>
                <w:rStyle w:val="Aucun"/>
                <w:rFonts w:ascii="Cambria Math" w:eastAsiaTheme="majorEastAsia" w:hAnsi="Cambria Math" w:cs="Calibri"/>
              </w:rPr>
              <m:t>i2</m:t>
            </m:r>
          </m:sub>
        </m:sSub>
      </m:oMath>
      <w:r w:rsidRPr="004A7417">
        <w:rPr>
          <w:rStyle w:val="Aucun"/>
          <w:rFonts w:ascii="Calibri" w:eastAsiaTheme="majorEastAsia" w:hAnsi="Calibri" w:cs="Calibri"/>
        </w:rPr>
        <w:t xml:space="preserve"> sont les quantités et émissions unitaires de l’intrant i nécessaire pour produire une unité l’année 2, on a :</w:t>
      </w:r>
    </w:p>
    <w:p w14:paraId="5E33AEF7" w14:textId="77777777" w:rsidR="00AA7DEB" w:rsidRPr="004A7417" w:rsidRDefault="00000000" w:rsidP="00AA7DEB">
      <w:pPr>
        <w:pStyle w:val="NormalWeb"/>
        <w:spacing w:before="0" w:beforeAutospacing="0" w:after="0" w:afterAutospacing="0"/>
        <w:ind w:left="708"/>
        <w:jc w:val="both"/>
        <w:rPr>
          <w:rStyle w:val="Aucun"/>
          <w:rFonts w:ascii="Calibri" w:eastAsiaTheme="majorEastAsia" w:hAnsi="Calibri" w:cs="Calibri"/>
          <w:i/>
          <w:iCs/>
        </w:rPr>
      </w:pPr>
      <m:oMathPara>
        <m:oMath>
          <m:sSub>
            <m:sSubPr>
              <m:ctrlPr>
                <w:rPr>
                  <w:rStyle w:val="Aucun"/>
                  <w:rFonts w:ascii="Cambria Math" w:eastAsiaTheme="majorEastAsia" w:hAnsi="Cambria Math" w:cs="Calibri"/>
                  <w:i/>
                  <w:iCs/>
                </w:rPr>
              </m:ctrlPr>
            </m:sSubPr>
            <m:e>
              <m:r>
                <w:rPr>
                  <w:rStyle w:val="Aucun"/>
                  <w:rFonts w:ascii="Cambria Math" w:eastAsiaTheme="majorEastAsia" w:hAnsi="Cambria Math" w:cs="Calibri"/>
                </w:rPr>
                <m:t>Q</m:t>
              </m:r>
            </m:e>
            <m:sub>
              <m:r>
                <w:rPr>
                  <w:rStyle w:val="Aucun"/>
                  <w:rFonts w:ascii="Cambria Math" w:eastAsiaTheme="majorEastAsia" w:hAnsi="Cambria Math" w:cs="Calibri"/>
                </w:rPr>
                <m:t>1</m:t>
              </m:r>
            </m:sub>
          </m:sSub>
          <m:d>
            <m:dPr>
              <m:ctrlPr>
                <w:rPr>
                  <w:rStyle w:val="Aucun"/>
                  <w:rFonts w:ascii="Cambria Math" w:eastAsiaTheme="majorEastAsia" w:hAnsi="Cambria Math" w:cs="Calibri"/>
                  <w:i/>
                  <w:iCs/>
                </w:rPr>
              </m:ctrlPr>
            </m:dPr>
            <m:e>
              <m:sSub>
                <m:sSubPr>
                  <m:ctrlPr>
                    <w:rPr>
                      <w:rStyle w:val="Aucun"/>
                      <w:rFonts w:ascii="Cambria Math" w:eastAsiaTheme="majorEastAsia" w:hAnsi="Cambria Math" w:cs="Calibri"/>
                      <w:i/>
                      <w:iCs/>
                    </w:rPr>
                  </m:ctrlPr>
                </m:sSubPr>
                <m:e>
                  <m:r>
                    <w:rPr>
                      <w:rStyle w:val="Aucun"/>
                      <w:rFonts w:ascii="Cambria Math" w:eastAsiaTheme="majorEastAsia" w:hAnsi="Cambria Math" w:cs="Calibri"/>
                    </w:rPr>
                    <m:t>p</m:t>
                  </m:r>
                </m:e>
                <m:sub>
                  <m:r>
                    <w:rPr>
                      <w:rStyle w:val="Aucun"/>
                      <w:rFonts w:ascii="Cambria Math" w:eastAsiaTheme="majorEastAsia" w:hAnsi="Cambria Math" w:cs="Calibri"/>
                    </w:rPr>
                    <m:t>1</m:t>
                  </m:r>
                </m:sub>
              </m:sSub>
              <m:r>
                <w:rPr>
                  <w:rStyle w:val="Aucun"/>
                  <w:rFonts w:ascii="Cambria Math" w:eastAsiaTheme="majorEastAsia" w:hAnsi="Cambria Math" w:cs="Calibri"/>
                </w:rPr>
                <m:t>-</m:t>
              </m:r>
              <m:sSub>
                <m:sSubPr>
                  <m:ctrlPr>
                    <w:rPr>
                      <w:rStyle w:val="Aucun"/>
                      <w:rFonts w:ascii="Cambria Math" w:eastAsiaTheme="majorEastAsia" w:hAnsi="Cambria Math" w:cs="Calibri"/>
                      <w:i/>
                      <w:iCs/>
                    </w:rPr>
                  </m:ctrlPr>
                </m:sSubPr>
                <m:e>
                  <m:r>
                    <w:rPr>
                      <w:rStyle w:val="Aucun"/>
                      <w:rFonts w:ascii="Cambria Math" w:eastAsiaTheme="majorEastAsia" w:hAnsi="Cambria Math" w:cs="Calibri"/>
                    </w:rPr>
                    <m:t>p</m:t>
                  </m:r>
                </m:e>
                <m:sub>
                  <m:r>
                    <w:rPr>
                      <w:rStyle w:val="Aucun"/>
                      <w:rFonts w:ascii="Cambria Math" w:eastAsiaTheme="majorEastAsia" w:hAnsi="Cambria Math" w:cs="Calibri"/>
                    </w:rPr>
                    <m:t>2</m:t>
                  </m:r>
                </m:sub>
              </m:sSub>
            </m:e>
          </m:d>
          <m:r>
            <w:rPr>
              <w:rStyle w:val="Aucun"/>
              <w:rFonts w:ascii="Cambria Math" w:eastAsiaTheme="majorEastAsia" w:hAnsi="Cambria Math" w:cs="Calibri"/>
            </w:rPr>
            <m:t>=</m:t>
          </m:r>
          <m:sSub>
            <m:sSubPr>
              <m:ctrlPr>
                <w:rPr>
                  <w:rStyle w:val="Aucun"/>
                  <w:rFonts w:ascii="Cambria Math" w:eastAsiaTheme="majorEastAsia" w:hAnsi="Cambria Math" w:cs="Calibri"/>
                  <w:i/>
                  <w:iCs/>
                </w:rPr>
              </m:ctrlPr>
            </m:sSubPr>
            <m:e>
              <m:r>
                <w:rPr>
                  <w:rStyle w:val="Aucun"/>
                  <w:rFonts w:ascii="Cambria Math" w:eastAsiaTheme="majorEastAsia" w:hAnsi="Cambria Math" w:cs="Calibri"/>
                </w:rPr>
                <m:t>Q</m:t>
              </m:r>
            </m:e>
            <m:sub>
              <m:r>
                <w:rPr>
                  <w:rStyle w:val="Aucun"/>
                  <w:rFonts w:ascii="Cambria Math" w:eastAsiaTheme="majorEastAsia" w:hAnsi="Cambria Math" w:cs="Calibri"/>
                </w:rPr>
                <m:t>1</m:t>
              </m:r>
            </m:sub>
          </m:sSub>
          <m:nary>
            <m:naryPr>
              <m:chr m:val="∑"/>
              <m:limLoc m:val="undOvr"/>
              <m:supHide m:val="1"/>
              <m:ctrlPr>
                <w:rPr>
                  <w:rStyle w:val="Aucun"/>
                  <w:rFonts w:ascii="Cambria Math" w:eastAsiaTheme="majorEastAsia" w:hAnsi="Cambria Math" w:cs="Calibri"/>
                  <w:i/>
                  <w:iCs/>
                </w:rPr>
              </m:ctrlPr>
            </m:naryPr>
            <m:sub>
              <m:r>
                <w:rPr>
                  <w:rStyle w:val="Aucun"/>
                  <w:rFonts w:ascii="Cambria Math" w:eastAsiaTheme="majorEastAsia" w:hAnsi="Cambria Math" w:cs="Calibri"/>
                </w:rPr>
                <m:t>i</m:t>
              </m:r>
            </m:sub>
            <m:sup/>
            <m:e>
              <m:d>
                <m:dPr>
                  <m:ctrlPr>
                    <w:rPr>
                      <w:rStyle w:val="Aucun"/>
                      <w:rFonts w:ascii="Cambria Math" w:eastAsiaTheme="majorEastAsia" w:hAnsi="Cambria Math" w:cs="Calibri"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Style w:val="Aucun"/>
                          <w:rFonts w:ascii="Cambria Math" w:eastAsiaTheme="majorEastAsia" w:hAnsi="Cambria Math" w:cs="Calibri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Style w:val="Aucun"/>
                          <w:rFonts w:ascii="Cambria Math" w:eastAsiaTheme="majorEastAsia" w:hAnsi="Cambria Math" w:cs="Calibri"/>
                        </w:rPr>
                        <m:t>p</m:t>
                      </m:r>
                    </m:e>
                    <m:sub>
                      <m:r>
                        <w:rPr>
                          <w:rStyle w:val="Aucun"/>
                          <w:rFonts w:ascii="Cambria Math" w:eastAsiaTheme="majorEastAsia" w:hAnsi="Cambria Math" w:cs="Calibri"/>
                        </w:rPr>
                        <m:t>i1</m:t>
                      </m:r>
                    </m:sub>
                  </m:sSub>
                  <m:sSub>
                    <m:sSubPr>
                      <m:ctrlPr>
                        <w:rPr>
                          <w:rStyle w:val="Aucun"/>
                          <w:rFonts w:ascii="Cambria Math" w:eastAsiaTheme="majorEastAsia" w:hAnsi="Cambria Math" w:cs="Calibri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Style w:val="Aucun"/>
                          <w:rFonts w:ascii="Cambria Math" w:eastAsiaTheme="majorEastAsia" w:hAnsi="Cambria Math" w:cs="Calibri"/>
                        </w:rPr>
                        <m:t>k</m:t>
                      </m:r>
                    </m:e>
                    <m:sub>
                      <m:r>
                        <w:rPr>
                          <w:rStyle w:val="Aucun"/>
                          <w:rFonts w:ascii="Cambria Math" w:eastAsiaTheme="majorEastAsia" w:hAnsi="Cambria Math" w:cs="Calibri"/>
                        </w:rPr>
                        <m:t>i1</m:t>
                      </m:r>
                    </m:sub>
                  </m:sSub>
                  <m:r>
                    <w:rPr>
                      <w:rStyle w:val="Aucun"/>
                      <w:rFonts w:ascii="Cambria Math" w:eastAsiaTheme="majorEastAsia" w:hAnsi="Cambria Math" w:cs="Calibri"/>
                    </w:rPr>
                    <m:t>-</m:t>
                  </m:r>
                  <m:sSub>
                    <m:sSubPr>
                      <m:ctrlPr>
                        <w:rPr>
                          <w:rStyle w:val="Aucun"/>
                          <w:rFonts w:ascii="Cambria Math" w:eastAsiaTheme="majorEastAsia" w:hAnsi="Cambria Math" w:cs="Calibri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Style w:val="Aucun"/>
                          <w:rFonts w:ascii="Cambria Math" w:eastAsiaTheme="majorEastAsia" w:hAnsi="Cambria Math" w:cs="Calibri"/>
                        </w:rPr>
                        <m:t>p</m:t>
                      </m:r>
                    </m:e>
                    <m:sub>
                      <m:r>
                        <w:rPr>
                          <w:rStyle w:val="Aucun"/>
                          <w:rFonts w:ascii="Cambria Math" w:eastAsiaTheme="majorEastAsia" w:hAnsi="Cambria Math" w:cs="Calibri"/>
                        </w:rPr>
                        <m:t>i2</m:t>
                      </m:r>
                    </m:sub>
                  </m:sSub>
                  <m:sSub>
                    <m:sSubPr>
                      <m:ctrlPr>
                        <w:rPr>
                          <w:rStyle w:val="Aucun"/>
                          <w:rFonts w:ascii="Cambria Math" w:eastAsiaTheme="majorEastAsia" w:hAnsi="Cambria Math" w:cs="Calibri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Style w:val="Aucun"/>
                          <w:rFonts w:ascii="Cambria Math" w:eastAsiaTheme="majorEastAsia" w:hAnsi="Cambria Math" w:cs="Calibri"/>
                        </w:rPr>
                        <m:t>k</m:t>
                      </m:r>
                    </m:e>
                    <m:sub>
                      <m:r>
                        <w:rPr>
                          <w:rStyle w:val="Aucun"/>
                          <w:rFonts w:ascii="Cambria Math" w:eastAsiaTheme="majorEastAsia" w:hAnsi="Cambria Math" w:cs="Calibri"/>
                        </w:rPr>
                        <m:t>i2</m:t>
                      </m:r>
                    </m:sub>
                  </m:sSub>
                </m:e>
              </m:d>
              <m:r>
                <w:rPr>
                  <w:rStyle w:val="Aucun"/>
                  <w:rFonts w:ascii="Cambria Math" w:eastAsiaTheme="majorEastAsia" w:hAnsi="Cambria Math" w:cs="Calibri"/>
                </w:rPr>
                <m:t>=</m:t>
              </m:r>
              <w:bookmarkStart w:id="3" w:name="_Hlk149667572"/>
              <m:sSub>
                <m:sSubPr>
                  <m:ctrlPr>
                    <w:rPr>
                      <w:rStyle w:val="Aucun"/>
                      <w:rFonts w:ascii="Cambria Math" w:eastAsiaTheme="majorEastAsia" w:hAnsi="Cambria Math" w:cs="Calibri"/>
                      <w:i/>
                      <w:iCs/>
                    </w:rPr>
                  </m:ctrlPr>
                </m:sSubPr>
                <m:e>
                  <m:r>
                    <w:rPr>
                      <w:rStyle w:val="Aucun"/>
                      <w:rFonts w:ascii="Cambria Math" w:eastAsiaTheme="majorEastAsia" w:hAnsi="Cambria Math" w:cs="Calibri"/>
                    </w:rPr>
                    <m:t>Q</m:t>
                  </m:r>
                </m:e>
                <m:sub>
                  <m:r>
                    <w:rPr>
                      <w:rStyle w:val="Aucun"/>
                      <w:rFonts w:ascii="Cambria Math" w:eastAsiaTheme="majorEastAsia" w:hAnsi="Cambria Math" w:cs="Calibri"/>
                    </w:rPr>
                    <m:t>1</m:t>
                  </m:r>
                </m:sub>
              </m:sSub>
              <m:nary>
                <m:naryPr>
                  <m:chr m:val="∑"/>
                  <m:limLoc m:val="subSup"/>
                  <m:supHide m:val="1"/>
                  <m:ctrlPr>
                    <w:rPr>
                      <w:rStyle w:val="Aucun"/>
                      <w:rFonts w:ascii="Cambria Math" w:eastAsiaTheme="majorEastAsia" w:hAnsi="Cambria Math" w:cs="Calibri"/>
                      <w:i/>
                      <w:iCs/>
                    </w:rPr>
                  </m:ctrlPr>
                </m:naryPr>
                <m:sub>
                  <m:r>
                    <w:rPr>
                      <w:rStyle w:val="Aucun"/>
                      <w:rFonts w:ascii="Cambria Math" w:eastAsiaTheme="majorEastAsia" w:hAnsi="Cambria Math" w:cs="Calibri"/>
                    </w:rPr>
                    <m:t>i</m:t>
                  </m:r>
                </m:sub>
                <m:sup/>
                <m:e>
                  <m:d>
                    <m:dPr>
                      <m:begChr m:val="["/>
                      <m:endChr m:val="]"/>
                      <m:ctrlPr>
                        <w:rPr>
                          <w:rStyle w:val="Aucun"/>
                          <w:rFonts w:ascii="Cambria Math" w:eastAsiaTheme="majorEastAsia" w:hAnsi="Cambria Math" w:cs="Calibri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Style w:val="Aucun"/>
                              <w:rFonts w:ascii="Cambria Math" w:eastAsiaTheme="majorEastAsia" w:hAnsi="Cambria Math" w:cs="Calibri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Style w:val="Aucun"/>
                              <w:rFonts w:ascii="Cambria Math" w:eastAsiaTheme="majorEastAsia" w:hAnsi="Cambria Math" w:cs="Calibri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Style w:val="Aucun"/>
                              <w:rFonts w:ascii="Cambria Math" w:eastAsiaTheme="majorEastAsia" w:hAnsi="Cambria Math" w:cs="Calibri"/>
                            </w:rPr>
                            <m:t>i1</m:t>
                          </m:r>
                        </m:sub>
                      </m:sSub>
                      <m:d>
                        <m:dPr>
                          <m:ctrlPr>
                            <w:rPr>
                              <w:rStyle w:val="Aucun"/>
                              <w:rFonts w:ascii="Cambria Math" w:eastAsiaTheme="majorEastAsia" w:hAnsi="Cambria Math" w:cs="Calibri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Style w:val="Aucun"/>
                                  <w:rFonts w:ascii="Cambria Math" w:eastAsiaTheme="majorEastAsia" w:hAnsi="Cambria Math" w:cs="Calibr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Style w:val="Aucun"/>
                                  <w:rFonts w:ascii="Cambria Math" w:eastAsiaTheme="majorEastAsia" w:hAnsi="Cambria Math" w:cs="Calibri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Style w:val="Aucun"/>
                                  <w:rFonts w:ascii="Cambria Math" w:eastAsiaTheme="majorEastAsia" w:hAnsi="Cambria Math" w:cs="Calibri"/>
                                </w:rPr>
                                <m:t>i1</m:t>
                              </m:r>
                            </m:sub>
                          </m:sSub>
                          <m:r>
                            <w:rPr>
                              <w:rStyle w:val="Aucun"/>
                              <w:rFonts w:ascii="Cambria Math" w:eastAsiaTheme="majorEastAsia" w:hAnsi="Cambria Math" w:cs="Calibri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Style w:val="Aucun"/>
                                  <w:rFonts w:ascii="Cambria Math" w:eastAsiaTheme="majorEastAsia" w:hAnsi="Cambria Math" w:cs="Calibr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Style w:val="Aucun"/>
                                  <w:rFonts w:ascii="Cambria Math" w:eastAsiaTheme="majorEastAsia" w:hAnsi="Cambria Math" w:cs="Calibri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Style w:val="Aucun"/>
                                  <w:rFonts w:ascii="Cambria Math" w:eastAsiaTheme="majorEastAsia" w:hAnsi="Cambria Math" w:cs="Calibri"/>
                                </w:rPr>
                                <m:t>i2</m:t>
                              </m:r>
                            </m:sub>
                          </m:sSub>
                        </m:e>
                      </m:d>
                      <m:r>
                        <w:rPr>
                          <w:rStyle w:val="Aucun"/>
                          <w:rFonts w:ascii="Cambria Math" w:eastAsiaTheme="majorEastAsia" w:hAnsi="Cambria Math" w:cs="Calibri"/>
                        </w:rPr>
                        <m:t>+</m:t>
                      </m:r>
                      <m:sSub>
                        <m:sSubPr>
                          <m:ctrlPr>
                            <w:rPr>
                              <w:rStyle w:val="Aucun"/>
                              <w:rFonts w:ascii="Cambria Math" w:eastAsiaTheme="majorEastAsia" w:hAnsi="Cambria Math" w:cs="Calibri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Style w:val="Aucun"/>
                              <w:rFonts w:ascii="Cambria Math" w:eastAsiaTheme="majorEastAsia" w:hAnsi="Cambria Math" w:cs="Calibri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Style w:val="Aucun"/>
                              <w:rFonts w:ascii="Cambria Math" w:eastAsiaTheme="majorEastAsia" w:hAnsi="Cambria Math" w:cs="Calibri"/>
                            </w:rPr>
                            <m:t>i2</m:t>
                          </m:r>
                        </m:sub>
                      </m:sSub>
                      <m:d>
                        <m:dPr>
                          <m:ctrlPr>
                            <w:rPr>
                              <w:rStyle w:val="Aucun"/>
                              <w:rFonts w:ascii="Cambria Math" w:eastAsiaTheme="majorEastAsia" w:hAnsi="Cambria Math" w:cs="Calibri"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Style w:val="Aucun"/>
                                  <w:rFonts w:ascii="Cambria Math" w:eastAsiaTheme="majorEastAsia" w:hAnsi="Cambria Math" w:cs="Calibr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Style w:val="Aucun"/>
                                  <w:rFonts w:ascii="Cambria Math" w:eastAsiaTheme="majorEastAsia" w:hAnsi="Cambria Math" w:cs="Calibri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Style w:val="Aucun"/>
                                  <w:rFonts w:ascii="Cambria Math" w:eastAsiaTheme="majorEastAsia" w:hAnsi="Cambria Math" w:cs="Calibri"/>
                                </w:rPr>
                                <m:t>i1</m:t>
                              </m:r>
                            </m:sub>
                          </m:sSub>
                          <m:r>
                            <w:rPr>
                              <w:rStyle w:val="Aucun"/>
                              <w:rFonts w:ascii="Cambria Math" w:eastAsiaTheme="majorEastAsia" w:hAnsi="Cambria Math" w:cs="Calibri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Style w:val="Aucun"/>
                                  <w:rFonts w:ascii="Cambria Math" w:eastAsiaTheme="majorEastAsia" w:hAnsi="Cambria Math" w:cs="Calibr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Style w:val="Aucun"/>
                                  <w:rFonts w:ascii="Cambria Math" w:eastAsiaTheme="majorEastAsia" w:hAnsi="Cambria Math" w:cs="Calibri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Style w:val="Aucun"/>
                                  <w:rFonts w:ascii="Cambria Math" w:eastAsiaTheme="majorEastAsia" w:hAnsi="Cambria Math" w:cs="Calibri"/>
                                </w:rPr>
                                <m:t>i2</m:t>
                              </m:r>
                            </m:sub>
                          </m:sSub>
                        </m:e>
                      </m:d>
                    </m:e>
                  </m:d>
                </m:e>
              </m:nary>
              <w:bookmarkEnd w:id="3"/>
            </m:e>
          </m:nary>
        </m:oMath>
      </m:oMathPara>
    </w:p>
    <w:p w14:paraId="7FCC15E4" w14:textId="77777777" w:rsidR="00AA7DEB" w:rsidRPr="004A7417" w:rsidRDefault="00AA7DEB" w:rsidP="00AA7DEB">
      <w:pPr>
        <w:pStyle w:val="NormalWeb"/>
        <w:spacing w:before="0" w:beforeAutospacing="0" w:after="0" w:afterAutospacing="0"/>
        <w:ind w:left="708"/>
        <w:jc w:val="both"/>
        <w:rPr>
          <w:rFonts w:ascii="Calibri" w:hAnsi="Calibri" w:cs="Calibri"/>
          <w:i/>
          <w:iCs/>
        </w:rPr>
      </w:pPr>
      <w:r w:rsidRPr="004A7417">
        <w:rPr>
          <w:rStyle w:val="Aucun"/>
          <w:rFonts w:ascii="Calibri" w:eastAsiaTheme="majorEastAsia" w:hAnsi="Calibri" w:cs="Calibri"/>
        </w:rPr>
        <w:t xml:space="preserve">La contribution attribuée aux chaines de fournisseurs en amont est le terme : </w:t>
      </w:r>
      <m:oMath>
        <m:sSub>
          <m:sSubPr>
            <m:ctrlPr>
              <w:rPr>
                <w:rStyle w:val="Aucun"/>
                <w:rFonts w:ascii="Cambria Math" w:eastAsiaTheme="majorEastAsia" w:hAnsi="Cambria Math" w:cs="Calibri"/>
                <w:i/>
                <w:iCs/>
              </w:rPr>
            </m:ctrlPr>
          </m:sSubPr>
          <m:e>
            <m:r>
              <w:rPr>
                <w:rStyle w:val="Aucun"/>
                <w:rFonts w:ascii="Cambria Math" w:eastAsiaTheme="majorEastAsia" w:hAnsi="Cambria Math" w:cs="Calibri"/>
              </w:rPr>
              <m:t>Q</m:t>
            </m:r>
          </m:e>
          <m:sub>
            <m:r>
              <w:rPr>
                <w:rStyle w:val="Aucun"/>
                <w:rFonts w:ascii="Cambria Math" w:eastAsiaTheme="majorEastAsia" w:hAnsi="Cambria Math" w:cs="Calibri"/>
              </w:rPr>
              <m:t>1</m:t>
            </m:r>
          </m:sub>
        </m:sSub>
        <m:nary>
          <m:naryPr>
            <m:chr m:val="∑"/>
            <m:limLoc m:val="subSup"/>
            <m:supHide m:val="1"/>
            <m:ctrlPr>
              <w:rPr>
                <w:rStyle w:val="Aucun"/>
                <w:rFonts w:ascii="Cambria Math" w:eastAsiaTheme="majorEastAsia" w:hAnsi="Cambria Math" w:cs="Calibri"/>
                <w:i/>
                <w:iCs/>
              </w:rPr>
            </m:ctrlPr>
          </m:naryPr>
          <m:sub>
            <m:r>
              <w:rPr>
                <w:rStyle w:val="Aucun"/>
                <w:rFonts w:ascii="Cambria Math" w:eastAsiaTheme="majorEastAsia" w:hAnsi="Cambria Math" w:cs="Calibri"/>
              </w:rPr>
              <m:t>i</m:t>
            </m:r>
          </m:sub>
          <m:sup/>
          <m:e>
            <m:d>
              <m:dPr>
                <m:begChr m:val="["/>
                <m:endChr m:val="]"/>
                <m:ctrlPr>
                  <w:rPr>
                    <w:rStyle w:val="Aucun"/>
                    <w:rFonts w:ascii="Cambria Math" w:eastAsiaTheme="majorEastAsia" w:hAnsi="Cambria Math" w:cs="Calibri"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Style w:val="Aucun"/>
                        <w:rFonts w:ascii="Cambria Math" w:eastAsiaTheme="majorEastAsia" w:hAnsi="Cambria Math" w:cs="Calibri"/>
                        <w:i/>
                        <w:iCs/>
                      </w:rPr>
                    </m:ctrlPr>
                  </m:sSubPr>
                  <m:e>
                    <m:r>
                      <w:rPr>
                        <w:rStyle w:val="Aucun"/>
                        <w:rFonts w:ascii="Cambria Math" w:eastAsiaTheme="majorEastAsia" w:hAnsi="Cambria Math" w:cs="Calibri"/>
                      </w:rPr>
                      <m:t>k</m:t>
                    </m:r>
                  </m:e>
                  <m:sub>
                    <m:r>
                      <w:rPr>
                        <w:rStyle w:val="Aucun"/>
                        <w:rFonts w:ascii="Cambria Math" w:eastAsiaTheme="majorEastAsia" w:hAnsi="Cambria Math" w:cs="Calibri"/>
                      </w:rPr>
                      <m:t>i2</m:t>
                    </m:r>
                  </m:sub>
                </m:sSub>
                <m:d>
                  <m:dPr>
                    <m:ctrlPr>
                      <w:rPr>
                        <w:rStyle w:val="Aucun"/>
                        <w:rFonts w:ascii="Cambria Math" w:eastAsiaTheme="majorEastAsia" w:hAnsi="Cambria Math" w:cs="Calibri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Style w:val="Aucun"/>
                            <w:rFonts w:ascii="Cambria Math" w:eastAsiaTheme="majorEastAsia" w:hAnsi="Cambria Math" w:cs="Calibr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Style w:val="Aucun"/>
                            <w:rFonts w:ascii="Cambria Math" w:eastAsiaTheme="majorEastAsia" w:hAnsi="Cambria Math" w:cs="Calibri"/>
                          </w:rPr>
                          <m:t>p</m:t>
                        </m:r>
                      </m:e>
                      <m:sub>
                        <m:r>
                          <w:rPr>
                            <w:rStyle w:val="Aucun"/>
                            <w:rFonts w:ascii="Cambria Math" w:eastAsiaTheme="majorEastAsia" w:hAnsi="Cambria Math" w:cs="Calibri"/>
                          </w:rPr>
                          <m:t>i1</m:t>
                        </m:r>
                      </m:sub>
                    </m:sSub>
                    <m:r>
                      <w:rPr>
                        <w:rStyle w:val="Aucun"/>
                        <w:rFonts w:ascii="Cambria Math" w:eastAsiaTheme="majorEastAsia" w:hAnsi="Cambria Math" w:cs="Calibri"/>
                      </w:rPr>
                      <m:t>-</m:t>
                    </m:r>
                    <m:sSub>
                      <m:sSubPr>
                        <m:ctrlPr>
                          <w:rPr>
                            <w:rStyle w:val="Aucun"/>
                            <w:rFonts w:ascii="Cambria Math" w:eastAsiaTheme="majorEastAsia" w:hAnsi="Cambria Math" w:cs="Calibr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Style w:val="Aucun"/>
                            <w:rFonts w:ascii="Cambria Math" w:eastAsiaTheme="majorEastAsia" w:hAnsi="Cambria Math" w:cs="Calibri"/>
                          </w:rPr>
                          <m:t>p</m:t>
                        </m:r>
                      </m:e>
                      <m:sub>
                        <m:r>
                          <w:rPr>
                            <w:rStyle w:val="Aucun"/>
                            <w:rFonts w:ascii="Cambria Math" w:eastAsiaTheme="majorEastAsia" w:hAnsi="Cambria Math" w:cs="Calibri"/>
                          </w:rPr>
                          <m:t>i2</m:t>
                        </m:r>
                      </m:sub>
                    </m:sSub>
                  </m:e>
                </m:d>
              </m:e>
            </m:d>
          </m:e>
        </m:nary>
      </m:oMath>
      <w:r w:rsidRPr="004A7417">
        <w:rPr>
          <w:rStyle w:val="Aucun"/>
          <w:rFonts w:ascii="Calibri" w:eastAsiaTheme="majorEastAsia" w:hAnsi="Calibri" w:cs="Calibri"/>
        </w:rPr>
        <w:t xml:space="preserve"> . On obtient la décarbonation </w:t>
      </w:r>
      <w:r>
        <w:rPr>
          <w:rStyle w:val="Aucun"/>
          <w:rFonts w:ascii="Calibri" w:eastAsiaTheme="majorEastAsia" w:hAnsi="Calibri" w:cs="Calibri"/>
        </w:rPr>
        <w:t xml:space="preserve">de productivité </w:t>
      </w:r>
      <w:r w:rsidRPr="004A7417">
        <w:rPr>
          <w:rStyle w:val="Aucun"/>
          <w:rFonts w:ascii="Calibri" w:eastAsiaTheme="majorEastAsia" w:hAnsi="Calibri" w:cs="Calibri"/>
        </w:rPr>
        <w:t>de l’entreprise :</w:t>
      </w:r>
    </w:p>
    <w:bookmarkStart w:id="4" w:name="_Hlk149052880"/>
    <w:p w14:paraId="5370B5B3" w14:textId="77777777" w:rsidR="00AA7DEB" w:rsidRPr="004A7417" w:rsidRDefault="00000000" w:rsidP="00AA7DEB">
      <w:pPr>
        <w:pStyle w:val="NormalWeb"/>
        <w:spacing w:before="0" w:beforeAutospacing="0" w:after="0" w:afterAutospacing="0"/>
        <w:ind w:left="708"/>
        <w:jc w:val="both"/>
        <w:rPr>
          <w:rStyle w:val="Aucun"/>
          <w:rFonts w:ascii="Calibri" w:eastAsiaTheme="majorEastAsia" w:hAnsi="Calibri" w:cs="Calibri"/>
          <w:i/>
          <w:iCs/>
        </w:rPr>
      </w:pPr>
      <m:oMath>
        <m:sSub>
          <m:sSubPr>
            <m:ctrlPr>
              <w:rPr>
                <w:rStyle w:val="Aucun"/>
                <w:rFonts w:ascii="Cambria Math" w:eastAsiaTheme="majorEastAsia" w:hAnsi="Cambria Math" w:cs="Calibri"/>
                <w:i/>
                <w:iCs/>
              </w:rPr>
            </m:ctrlPr>
          </m:sSubPr>
          <m:e>
            <m:r>
              <w:rPr>
                <w:rStyle w:val="Aucun"/>
                <w:rFonts w:ascii="Cambria Math" w:eastAsiaTheme="majorEastAsia" w:hAnsi="Cambria Math" w:cs="Calibri"/>
              </w:rPr>
              <m:t>Q</m:t>
            </m:r>
          </m:e>
          <m:sub>
            <m:r>
              <w:rPr>
                <w:rStyle w:val="Aucun"/>
                <w:rFonts w:ascii="Cambria Math" w:eastAsiaTheme="majorEastAsia" w:hAnsi="Cambria Math" w:cs="Calibri"/>
              </w:rPr>
              <m:t>1</m:t>
            </m:r>
          </m:sub>
        </m:sSub>
        <m:nary>
          <m:naryPr>
            <m:chr m:val="∑"/>
            <m:limLoc m:val="undOvr"/>
            <m:supHide m:val="1"/>
            <m:ctrlPr>
              <w:rPr>
                <w:rStyle w:val="Aucun"/>
                <w:rFonts w:ascii="Cambria Math" w:eastAsiaTheme="majorEastAsia" w:hAnsi="Cambria Math" w:cs="Calibri"/>
                <w:i/>
                <w:iCs/>
              </w:rPr>
            </m:ctrlPr>
          </m:naryPr>
          <m:sub>
            <m:r>
              <w:rPr>
                <w:rStyle w:val="Aucun"/>
                <w:rFonts w:ascii="Cambria Math" w:eastAsiaTheme="majorEastAsia" w:hAnsi="Cambria Math" w:cs="Calibri"/>
              </w:rPr>
              <m:t>i</m:t>
            </m:r>
          </m:sub>
          <m:sup/>
          <m:e>
            <w:bookmarkStart w:id="5" w:name="_Hlk149035598"/>
            <m:sSub>
              <m:sSubPr>
                <m:ctrlPr>
                  <w:rPr>
                    <w:rStyle w:val="Aucun"/>
                    <w:rFonts w:ascii="Cambria Math" w:eastAsiaTheme="majorEastAsia" w:hAnsi="Cambria Math" w:cs="Calibri"/>
                    <w:i/>
                    <w:iCs/>
                  </w:rPr>
                </m:ctrlPr>
              </m:sSubPr>
              <m:e>
                <m:r>
                  <w:rPr>
                    <w:rStyle w:val="Aucun"/>
                    <w:rFonts w:ascii="Cambria Math" w:eastAsiaTheme="majorEastAsia" w:hAnsi="Cambria Math" w:cs="Calibri"/>
                  </w:rPr>
                  <m:t>p</m:t>
                </m:r>
              </m:e>
              <m:sub>
                <m:r>
                  <w:rPr>
                    <w:rStyle w:val="Aucun"/>
                    <w:rFonts w:ascii="Cambria Math" w:eastAsiaTheme="majorEastAsia" w:hAnsi="Cambria Math" w:cs="Calibri"/>
                  </w:rPr>
                  <m:t>i1</m:t>
                </m:r>
              </m:sub>
            </m:sSub>
            <m:d>
              <m:dPr>
                <m:ctrlPr>
                  <w:rPr>
                    <w:rStyle w:val="Aucun"/>
                    <w:rFonts w:ascii="Cambria Math" w:eastAsiaTheme="majorEastAsia" w:hAnsi="Cambria Math" w:cs="Calibri"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Style w:val="Aucun"/>
                        <w:rFonts w:ascii="Cambria Math" w:eastAsiaTheme="majorEastAsia" w:hAnsi="Cambria Math" w:cs="Calibri"/>
                        <w:i/>
                        <w:iCs/>
                      </w:rPr>
                    </m:ctrlPr>
                  </m:sSubPr>
                  <m:e>
                    <m:r>
                      <w:rPr>
                        <w:rStyle w:val="Aucun"/>
                        <w:rFonts w:ascii="Cambria Math" w:eastAsiaTheme="majorEastAsia" w:hAnsi="Cambria Math" w:cs="Calibri"/>
                      </w:rPr>
                      <m:t>k</m:t>
                    </m:r>
                  </m:e>
                  <m:sub>
                    <m:r>
                      <w:rPr>
                        <w:rStyle w:val="Aucun"/>
                        <w:rFonts w:ascii="Cambria Math" w:eastAsiaTheme="majorEastAsia" w:hAnsi="Cambria Math" w:cs="Calibri"/>
                      </w:rPr>
                      <m:t>i1</m:t>
                    </m:r>
                  </m:sub>
                </m:sSub>
                <m:r>
                  <w:rPr>
                    <w:rStyle w:val="Aucun"/>
                    <w:rFonts w:ascii="Cambria Math" w:eastAsiaTheme="majorEastAsia" w:hAnsi="Cambria Math" w:cs="Calibri"/>
                  </w:rPr>
                  <m:t>-</m:t>
                </m:r>
                <m:sSub>
                  <m:sSubPr>
                    <m:ctrlPr>
                      <w:rPr>
                        <w:rStyle w:val="Aucun"/>
                        <w:rFonts w:ascii="Cambria Math" w:eastAsiaTheme="majorEastAsia" w:hAnsi="Cambria Math" w:cs="Calibri"/>
                        <w:i/>
                        <w:iCs/>
                      </w:rPr>
                    </m:ctrlPr>
                  </m:sSubPr>
                  <m:e>
                    <m:r>
                      <w:rPr>
                        <w:rStyle w:val="Aucun"/>
                        <w:rFonts w:ascii="Cambria Math" w:eastAsiaTheme="majorEastAsia" w:hAnsi="Cambria Math" w:cs="Calibri"/>
                      </w:rPr>
                      <m:t>k</m:t>
                    </m:r>
                  </m:e>
                  <m:sub>
                    <m:r>
                      <w:rPr>
                        <w:rStyle w:val="Aucun"/>
                        <w:rFonts w:ascii="Cambria Math" w:eastAsiaTheme="majorEastAsia" w:hAnsi="Cambria Math" w:cs="Calibri"/>
                      </w:rPr>
                      <m:t>i2</m:t>
                    </m:r>
                  </m:sub>
                </m:sSub>
              </m:e>
            </m:d>
            <w:bookmarkEnd w:id="5"/>
            <m:r>
              <w:rPr>
                <w:rStyle w:val="Aucun"/>
                <w:rFonts w:ascii="Cambria Math" w:eastAsiaTheme="majorEastAsia" w:hAnsi="Cambria Math" w:cs="Calibri"/>
              </w:rPr>
              <m:t xml:space="preserve">= </m:t>
            </m:r>
            <m:sSub>
              <m:sSubPr>
                <m:ctrlPr>
                  <w:rPr>
                    <w:rStyle w:val="Aucun"/>
                    <w:rFonts w:ascii="Cambria Math" w:eastAsiaTheme="majorEastAsia" w:hAnsi="Cambria Math" w:cs="Calibri"/>
                    <w:i/>
                    <w:iCs/>
                  </w:rPr>
                </m:ctrlPr>
              </m:sSubPr>
              <m:e>
                <m:r>
                  <w:rPr>
                    <w:rStyle w:val="Aucun"/>
                    <w:rFonts w:ascii="Cambria Math" w:eastAsiaTheme="majorEastAsia" w:hAnsi="Cambria Math" w:cs="Calibri"/>
                  </w:rPr>
                  <m:t>Q</m:t>
                </m:r>
              </m:e>
              <m:sub>
                <m:r>
                  <w:rPr>
                    <w:rStyle w:val="Aucun"/>
                    <w:rFonts w:ascii="Cambria Math" w:eastAsiaTheme="majorEastAsia" w:hAnsi="Cambria Math" w:cs="Calibri"/>
                  </w:rPr>
                  <m:t>1</m:t>
                </m:r>
              </m:sub>
            </m:sSub>
            <m:sSub>
              <m:sSubPr>
                <m:ctrlPr>
                  <w:rPr>
                    <w:rStyle w:val="Aucun"/>
                    <w:rFonts w:ascii="Cambria Math" w:eastAsiaTheme="majorEastAsia" w:hAnsi="Cambria Math" w:cs="Calibri"/>
                    <w:i/>
                    <w:iCs/>
                  </w:rPr>
                </m:ctrlPr>
              </m:sSubPr>
              <m:e>
                <m:r>
                  <w:rPr>
                    <w:rStyle w:val="Aucun"/>
                    <w:rFonts w:ascii="Cambria Math" w:eastAsiaTheme="majorEastAsia" w:hAnsi="Cambria Math" w:cs="Calibri"/>
                  </w:rPr>
                  <m:t>p</m:t>
                </m:r>
              </m:e>
              <m:sub>
                <m:r>
                  <w:rPr>
                    <w:rStyle w:val="Aucun"/>
                    <w:rFonts w:ascii="Cambria Math" w:eastAsiaTheme="majorEastAsia" w:hAnsi="Cambria Math" w:cs="Calibri"/>
                  </w:rPr>
                  <m:t>1</m:t>
                </m:r>
              </m:sub>
            </m:sSub>
            <m:r>
              <w:rPr>
                <w:rStyle w:val="Aucun"/>
                <w:rFonts w:ascii="Cambria Math" w:eastAsiaTheme="majorEastAsia" w:hAnsi="Cambria Math" w:cs="Calibri"/>
              </w:rPr>
              <m:t>-</m:t>
            </m:r>
            <m:sSub>
              <m:sSubPr>
                <m:ctrlPr>
                  <w:rPr>
                    <w:rStyle w:val="Aucun"/>
                    <w:rFonts w:ascii="Cambria Math" w:eastAsiaTheme="majorEastAsia" w:hAnsi="Cambria Math" w:cs="Calibri"/>
                    <w:i/>
                    <w:iCs/>
                  </w:rPr>
                </m:ctrlPr>
              </m:sSubPr>
              <m:e>
                <m:r>
                  <w:rPr>
                    <w:rStyle w:val="Aucun"/>
                    <w:rFonts w:ascii="Cambria Math" w:eastAsiaTheme="majorEastAsia" w:hAnsi="Cambria Math" w:cs="Calibri"/>
                  </w:rPr>
                  <m:t>Q</m:t>
                </m:r>
              </m:e>
              <m:sub>
                <m:r>
                  <w:rPr>
                    <w:rStyle w:val="Aucun"/>
                    <w:rFonts w:ascii="Cambria Math" w:eastAsiaTheme="majorEastAsia" w:hAnsi="Cambria Math" w:cs="Calibri"/>
                  </w:rPr>
                  <m:t>1</m:t>
                </m:r>
              </m:sub>
            </m:sSub>
            <m:nary>
              <m:naryPr>
                <m:chr m:val="∑"/>
                <m:limLoc m:val="undOvr"/>
                <m:supHide m:val="1"/>
                <m:ctrlPr>
                  <w:rPr>
                    <w:rStyle w:val="Aucun"/>
                    <w:rFonts w:ascii="Cambria Math" w:eastAsiaTheme="majorEastAsia" w:hAnsi="Cambria Math" w:cs="Calibri"/>
                    <w:i/>
                    <w:iCs/>
                  </w:rPr>
                </m:ctrlPr>
              </m:naryPr>
              <m:sub>
                <m:r>
                  <w:rPr>
                    <w:rStyle w:val="Aucun"/>
                    <w:rFonts w:ascii="Cambria Math" w:eastAsiaTheme="majorEastAsia" w:hAnsi="Cambria Math" w:cs="Calibri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Style w:val="Aucun"/>
                        <w:rFonts w:ascii="Cambria Math" w:eastAsiaTheme="majorEastAsia" w:hAnsi="Cambria Math" w:cs="Calibri"/>
                        <w:i/>
                        <w:iCs/>
                      </w:rPr>
                    </m:ctrlPr>
                  </m:sSubPr>
                  <m:e>
                    <m:r>
                      <w:rPr>
                        <w:rStyle w:val="Aucun"/>
                        <w:rFonts w:ascii="Cambria Math" w:eastAsiaTheme="majorEastAsia" w:hAnsi="Cambria Math" w:cs="Calibri"/>
                      </w:rPr>
                      <m:t>p</m:t>
                    </m:r>
                  </m:e>
                  <m:sub>
                    <m:r>
                      <w:rPr>
                        <w:rStyle w:val="Aucun"/>
                        <w:rFonts w:ascii="Cambria Math" w:eastAsiaTheme="majorEastAsia" w:hAnsi="Cambria Math" w:cs="Calibri"/>
                      </w:rPr>
                      <m:t>i1</m:t>
                    </m:r>
                  </m:sub>
                </m:sSub>
                <m:sSub>
                  <m:sSubPr>
                    <m:ctrlPr>
                      <w:rPr>
                        <w:rStyle w:val="Aucun"/>
                        <w:rFonts w:ascii="Cambria Math" w:eastAsiaTheme="majorEastAsia" w:hAnsi="Cambria Math" w:cs="Calibri"/>
                        <w:i/>
                        <w:iCs/>
                      </w:rPr>
                    </m:ctrlPr>
                  </m:sSubPr>
                  <m:e>
                    <m:r>
                      <w:rPr>
                        <w:rStyle w:val="Aucun"/>
                        <w:rFonts w:ascii="Cambria Math" w:eastAsiaTheme="majorEastAsia" w:hAnsi="Cambria Math" w:cs="Calibri"/>
                      </w:rPr>
                      <m:t>k</m:t>
                    </m:r>
                  </m:e>
                  <m:sub>
                    <m:r>
                      <w:rPr>
                        <w:rStyle w:val="Aucun"/>
                        <w:rFonts w:ascii="Cambria Math" w:eastAsiaTheme="majorEastAsia" w:hAnsi="Cambria Math" w:cs="Calibri"/>
                      </w:rPr>
                      <m:t>i2</m:t>
                    </m:r>
                  </m:sub>
                </m:sSub>
              </m:e>
            </m:nary>
          </m:e>
        </m:nary>
      </m:oMath>
      <w:bookmarkStart w:id="6" w:name="_Hlk148985692"/>
      <w:bookmarkEnd w:id="4"/>
      <w:r w:rsidR="00AA7DEB" w:rsidRPr="004A7417">
        <w:rPr>
          <w:rStyle w:val="Aucun"/>
          <w:rFonts w:ascii="Calibri" w:eastAsiaTheme="majorEastAsia" w:hAnsi="Calibri" w:cs="Calibri"/>
        </w:rPr>
        <w:t xml:space="preserve"> </w:t>
      </w:r>
      <w:bookmarkEnd w:id="6"/>
      <w:r w:rsidR="00AA7DEB" w:rsidRPr="004A7417">
        <w:rPr>
          <w:rStyle w:val="Aucun"/>
          <w:rFonts w:ascii="Calibri" w:eastAsiaTheme="majorEastAsia" w:hAnsi="Calibri" w:cs="Calibri"/>
        </w:rPr>
        <w:t xml:space="preserve">  </w:t>
      </w:r>
    </w:p>
    <w:p w14:paraId="25F78732" w14:textId="77777777" w:rsidR="00AA7DEB" w:rsidRPr="004A7417" w:rsidRDefault="00AA7DEB" w:rsidP="00AA7DEB">
      <w:pPr>
        <w:pStyle w:val="NormalWeb"/>
        <w:spacing w:before="0" w:beforeAutospacing="0" w:after="0" w:afterAutospacing="0"/>
        <w:ind w:left="708"/>
        <w:jc w:val="both"/>
        <w:rPr>
          <w:rStyle w:val="lev"/>
          <w:rFonts w:ascii="Calibri" w:eastAsia="Arial" w:hAnsi="Calibri" w:cs="Calibri"/>
        </w:rPr>
      </w:pPr>
    </w:p>
    <w:p w14:paraId="240A439C" w14:textId="77777777" w:rsidR="00AA7DEB" w:rsidRPr="004A7417" w:rsidRDefault="00AA7DEB" w:rsidP="00AA7DE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  <w:r w:rsidRPr="004A7417">
        <w:rPr>
          <w:rFonts w:ascii="Calibri" w:hAnsi="Calibri" w:cs="Calibri"/>
          <w:b/>
          <w:bCs/>
        </w:rPr>
        <w:t xml:space="preserve">La décarbonation </w:t>
      </w:r>
      <w:r>
        <w:rPr>
          <w:rFonts w:ascii="Calibri" w:hAnsi="Calibri" w:cs="Calibri"/>
          <w:b/>
          <w:bCs/>
        </w:rPr>
        <w:t>de capacité du</w:t>
      </w:r>
      <w:r w:rsidRPr="004A7417">
        <w:rPr>
          <w:rFonts w:ascii="Calibri" w:hAnsi="Calibri" w:cs="Calibri"/>
          <w:b/>
          <w:bCs/>
        </w:rPr>
        <w:t xml:space="preserve">e à la variation des quantités vendue </w:t>
      </w:r>
      <w:r w:rsidRPr="004A7417">
        <w:rPr>
          <w:rFonts w:ascii="Calibri" w:hAnsi="Calibri" w:cs="Calibri"/>
          <w:b/>
          <w:bCs/>
          <w:i/>
          <w:iCs/>
        </w:rPr>
        <w:t>p</w:t>
      </w:r>
      <w:r w:rsidRPr="004A7417">
        <w:rPr>
          <w:rFonts w:ascii="Calibri" w:hAnsi="Calibri" w:cs="Calibri"/>
          <w:b/>
          <w:bCs/>
          <w:vertAlign w:val="subscript"/>
        </w:rPr>
        <w:t>2</w:t>
      </w:r>
      <w:r w:rsidRPr="004A7417">
        <w:rPr>
          <w:rFonts w:ascii="Calibri" w:hAnsi="Calibri" w:cs="Calibri"/>
          <w:b/>
          <w:bCs/>
        </w:rPr>
        <w:t>(</w:t>
      </w:r>
      <w:r w:rsidRPr="004A7417">
        <w:rPr>
          <w:rFonts w:ascii="Calibri" w:hAnsi="Calibri" w:cs="Calibri"/>
          <w:b/>
          <w:bCs/>
          <w:i/>
          <w:iCs/>
        </w:rPr>
        <w:t>Q</w:t>
      </w:r>
      <w:r w:rsidRPr="004A7417">
        <w:rPr>
          <w:rFonts w:ascii="Calibri" w:hAnsi="Calibri" w:cs="Calibri"/>
          <w:b/>
          <w:bCs/>
          <w:i/>
          <w:iCs/>
          <w:vertAlign w:val="subscript"/>
        </w:rPr>
        <w:t>1</w:t>
      </w:r>
      <w:r w:rsidRPr="004A7417">
        <w:rPr>
          <w:rFonts w:ascii="Calibri" w:hAnsi="Calibri" w:cs="Calibri"/>
          <w:b/>
          <w:bCs/>
        </w:rPr>
        <w:t>-</w:t>
      </w:r>
      <w:r w:rsidRPr="004A7417">
        <w:rPr>
          <w:rFonts w:ascii="Calibri" w:hAnsi="Calibri" w:cs="Calibri"/>
          <w:b/>
          <w:bCs/>
          <w:i/>
          <w:iCs/>
        </w:rPr>
        <w:t>Q</w:t>
      </w:r>
      <w:r w:rsidRPr="004A7417">
        <w:rPr>
          <w:rFonts w:ascii="Calibri" w:hAnsi="Calibri" w:cs="Calibri"/>
          <w:b/>
          <w:bCs/>
          <w:i/>
          <w:iCs/>
          <w:vertAlign w:val="subscript"/>
        </w:rPr>
        <w:t>2</w:t>
      </w:r>
      <w:r w:rsidRPr="004A7417">
        <w:rPr>
          <w:rFonts w:ascii="Calibri" w:hAnsi="Calibri" w:cs="Calibri"/>
          <w:b/>
          <w:bCs/>
        </w:rPr>
        <w:t>)</w:t>
      </w:r>
    </w:p>
    <w:p w14:paraId="38D08539" w14:textId="77777777" w:rsidR="00AA7DEB" w:rsidRPr="004A7417" w:rsidRDefault="00AA7DEB" w:rsidP="00AA7DEB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Elle mesure l’impact des projets de l’entreprise pour améliorer la décarbonation de son marché en </w:t>
      </w:r>
      <w:r w:rsidRPr="004A7417">
        <w:rPr>
          <w:rFonts w:ascii="Calibri" w:hAnsi="Calibri" w:cs="Calibri"/>
        </w:rPr>
        <w:t>développ</w:t>
      </w:r>
      <w:r>
        <w:rPr>
          <w:rFonts w:ascii="Calibri" w:hAnsi="Calibri" w:cs="Calibri"/>
        </w:rPr>
        <w:t>ant</w:t>
      </w:r>
      <w:r w:rsidRPr="004A74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une</w:t>
      </w:r>
      <w:r w:rsidRPr="004A7417">
        <w:rPr>
          <w:rFonts w:ascii="Calibri" w:hAnsi="Calibri" w:cs="Calibri"/>
        </w:rPr>
        <w:t xml:space="preserve"> offre</w:t>
      </w:r>
      <w:r>
        <w:rPr>
          <w:rFonts w:ascii="Calibri" w:hAnsi="Calibri" w:cs="Calibri"/>
        </w:rPr>
        <w:t xml:space="preserve"> </w:t>
      </w:r>
      <w:r w:rsidRPr="004A7417">
        <w:rPr>
          <w:rFonts w:ascii="Calibri" w:hAnsi="Calibri" w:cs="Calibri"/>
        </w:rPr>
        <w:t xml:space="preserve">performante en </w:t>
      </w:r>
      <w:r>
        <w:rPr>
          <w:rFonts w:ascii="Calibri" w:hAnsi="Calibri" w:cs="Calibri"/>
        </w:rPr>
        <w:t>émission</w:t>
      </w:r>
      <w:r w:rsidRPr="004A74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ou en réduisant une offre non performante</w:t>
      </w:r>
      <w:r w:rsidRPr="004A7417">
        <w:rPr>
          <w:rFonts w:ascii="Calibri" w:hAnsi="Calibri" w:cs="Calibri"/>
        </w:rPr>
        <w:t xml:space="preserve">. </w:t>
      </w:r>
    </w:p>
    <w:p w14:paraId="3293B579" w14:textId="77777777" w:rsidR="00AA7DEB" w:rsidRPr="004A7417" w:rsidRDefault="00AA7DEB" w:rsidP="00AA7DEB">
      <w:pPr>
        <w:pStyle w:val="NormalWeb"/>
        <w:spacing w:before="0" w:beforeAutospacing="0" w:after="0" w:afterAutospacing="0"/>
        <w:ind w:left="708"/>
        <w:jc w:val="both"/>
        <w:rPr>
          <w:rFonts w:ascii="Calibri" w:hAnsi="Calibri" w:cs="Calibri"/>
          <w:i/>
          <w:iCs/>
        </w:rPr>
      </w:pPr>
      <w:r w:rsidRPr="004A7417">
        <w:rPr>
          <w:rStyle w:val="Aucun"/>
          <w:rFonts w:ascii="Calibri" w:eastAsiaTheme="majorEastAsia" w:hAnsi="Calibri" w:cs="Calibri"/>
        </w:rPr>
        <w:t xml:space="preserve">Si </w:t>
      </w:r>
      <m:oMath>
        <m:acc>
          <m:accPr>
            <m:chr m:val="̅"/>
            <m:ctrlPr>
              <w:rPr>
                <w:rStyle w:val="Aucun"/>
                <w:rFonts w:ascii="Cambria Math" w:eastAsiaTheme="majorEastAsia" w:hAnsi="Cambria Math" w:cs="Calibri"/>
                <w:i/>
                <w:iCs/>
              </w:rPr>
            </m:ctrlPr>
          </m:accPr>
          <m:e>
            <m:sSub>
              <m:sSubPr>
                <m:ctrlPr>
                  <w:rPr>
                    <w:rStyle w:val="Aucun"/>
                    <w:rFonts w:ascii="Cambria Math" w:eastAsiaTheme="majorEastAsia" w:hAnsi="Cambria Math" w:cs="Calibri"/>
                    <w:i/>
                    <w:iCs/>
                  </w:rPr>
                </m:ctrlPr>
              </m:sSubPr>
              <m:e>
                <m:r>
                  <w:rPr>
                    <w:rStyle w:val="Aucun"/>
                    <w:rFonts w:ascii="Cambria Math" w:eastAsiaTheme="majorEastAsia" w:hAnsi="Cambria Math" w:cs="Calibri"/>
                  </w:rPr>
                  <m:t>p</m:t>
                </m:r>
              </m:e>
              <m:sub>
                <m:r>
                  <w:rPr>
                    <w:rStyle w:val="Aucun"/>
                    <w:rFonts w:ascii="Cambria Math" w:eastAsiaTheme="majorEastAsia" w:hAnsi="Cambria Math" w:cs="Calibri"/>
                  </w:rPr>
                  <m:t>2</m:t>
                </m:r>
              </m:sub>
            </m:sSub>
          </m:e>
        </m:acc>
      </m:oMath>
      <w:r w:rsidRPr="004A7417">
        <w:rPr>
          <w:rStyle w:val="Aucun"/>
          <w:rFonts w:ascii="Calibri" w:eastAsiaTheme="majorEastAsia" w:hAnsi="Calibri" w:cs="Calibri"/>
        </w:rPr>
        <w:t xml:space="preserve"> est l’émission unitaire moyenne du marché l’année 2, l</w:t>
      </w:r>
      <w:r>
        <w:rPr>
          <w:rStyle w:val="Aucun"/>
          <w:rFonts w:ascii="Calibri" w:eastAsiaTheme="majorEastAsia" w:hAnsi="Calibri" w:cs="Calibri"/>
        </w:rPr>
        <w:t xml:space="preserve">a décarbonation maximale théorique </w:t>
      </w:r>
      <w:r w:rsidRPr="004A7417">
        <w:rPr>
          <w:rStyle w:val="Aucun"/>
          <w:rFonts w:ascii="Calibri" w:eastAsiaTheme="majorEastAsia" w:hAnsi="Calibri" w:cs="Calibri"/>
        </w:rPr>
        <w:t xml:space="preserve">est : </w:t>
      </w:r>
      <m:oMath>
        <m:d>
          <m:dPr>
            <m:ctrlPr>
              <w:rPr>
                <w:rStyle w:val="Aucun"/>
                <w:rFonts w:ascii="Cambria Math" w:eastAsiaTheme="majorEastAsia" w:hAnsi="Cambria Math" w:cs="Calibri"/>
                <w:i/>
                <w:iCs/>
              </w:rPr>
            </m:ctrlPr>
          </m:dPr>
          <m:e>
            <m:sSub>
              <m:sSubPr>
                <m:ctrlPr>
                  <w:rPr>
                    <w:rStyle w:val="Aucun"/>
                    <w:rFonts w:ascii="Cambria Math" w:eastAsiaTheme="majorEastAsia" w:hAnsi="Cambria Math" w:cs="Calibri"/>
                    <w:i/>
                    <w:iCs/>
                  </w:rPr>
                </m:ctrlPr>
              </m:sSubPr>
              <m:e>
                <m:r>
                  <w:rPr>
                    <w:rStyle w:val="Aucun"/>
                    <w:rFonts w:ascii="Cambria Math" w:eastAsiaTheme="majorEastAsia" w:hAnsi="Cambria Math" w:cs="Calibri"/>
                  </w:rPr>
                  <m:t>p</m:t>
                </m:r>
              </m:e>
              <m:sub>
                <m:r>
                  <w:rPr>
                    <w:rStyle w:val="Aucun"/>
                    <w:rFonts w:ascii="Cambria Math" w:eastAsiaTheme="majorEastAsia" w:hAnsi="Cambria Math" w:cs="Calibri"/>
                  </w:rPr>
                  <m:t>2</m:t>
                </m:r>
              </m:sub>
            </m:sSub>
            <m:r>
              <w:rPr>
                <w:rStyle w:val="Aucun"/>
                <w:rFonts w:ascii="Cambria Math" w:eastAsiaTheme="majorEastAsia" w:hAnsi="Cambria Math" w:cs="Calibri"/>
              </w:rPr>
              <m:t>-</m:t>
            </m:r>
            <m:acc>
              <m:accPr>
                <m:chr m:val="̅"/>
                <m:ctrlPr>
                  <w:rPr>
                    <w:rStyle w:val="Aucun"/>
                    <w:rFonts w:ascii="Cambria Math" w:eastAsiaTheme="majorEastAsia" w:hAnsi="Cambria Math" w:cs="Calibri"/>
                    <w:i/>
                    <w:iCs/>
                  </w:rPr>
                </m:ctrlPr>
              </m:accPr>
              <m:e>
                <m:sSub>
                  <m:sSubPr>
                    <m:ctrlPr>
                      <w:rPr>
                        <w:rStyle w:val="Aucun"/>
                        <w:rFonts w:ascii="Cambria Math" w:eastAsiaTheme="majorEastAsia" w:hAnsi="Cambria Math" w:cs="Calibri"/>
                        <w:i/>
                        <w:iCs/>
                      </w:rPr>
                    </m:ctrlPr>
                  </m:sSubPr>
                  <m:e>
                    <m:r>
                      <w:rPr>
                        <w:rStyle w:val="Aucun"/>
                        <w:rFonts w:ascii="Cambria Math" w:eastAsiaTheme="majorEastAsia" w:hAnsi="Cambria Math" w:cs="Calibri"/>
                      </w:rPr>
                      <m:t>p</m:t>
                    </m:r>
                  </m:e>
                  <m:sub>
                    <m:r>
                      <w:rPr>
                        <w:rStyle w:val="Aucun"/>
                        <w:rFonts w:ascii="Cambria Math" w:eastAsiaTheme="majorEastAsia" w:hAnsi="Cambria Math" w:cs="Calibri"/>
                      </w:rPr>
                      <m:t>2</m:t>
                    </m:r>
                  </m:sub>
                </m:sSub>
              </m:e>
            </m:acc>
          </m:e>
        </m:d>
        <m:r>
          <w:rPr>
            <w:rStyle w:val="Aucun"/>
            <w:rFonts w:ascii="Cambria Math" w:eastAsiaTheme="majorEastAsia" w:hAnsi="Cambria Math" w:cs="Calibri"/>
          </w:rPr>
          <m:t>.</m:t>
        </m:r>
        <m:d>
          <m:dPr>
            <m:ctrlPr>
              <w:rPr>
                <w:rStyle w:val="Aucun"/>
                <w:rFonts w:ascii="Cambria Math" w:eastAsiaTheme="majorEastAsia" w:hAnsi="Cambria Math" w:cs="Calibri"/>
                <w:i/>
                <w:iCs/>
              </w:rPr>
            </m:ctrlPr>
          </m:dPr>
          <m:e>
            <m:sSub>
              <m:sSubPr>
                <m:ctrlPr>
                  <w:rPr>
                    <w:rStyle w:val="Aucun"/>
                    <w:rFonts w:ascii="Cambria Math" w:eastAsiaTheme="majorEastAsia" w:hAnsi="Cambria Math" w:cs="Calibri"/>
                    <w:i/>
                    <w:iCs/>
                  </w:rPr>
                </m:ctrlPr>
              </m:sSubPr>
              <m:e>
                <m:r>
                  <w:rPr>
                    <w:rStyle w:val="Aucun"/>
                    <w:rFonts w:ascii="Cambria Math" w:eastAsiaTheme="majorEastAsia" w:hAnsi="Cambria Math" w:cs="Calibri"/>
                  </w:rPr>
                  <m:t>Q</m:t>
                </m:r>
              </m:e>
              <m:sub>
                <m:r>
                  <w:rPr>
                    <w:rStyle w:val="Aucun"/>
                    <w:rFonts w:ascii="Cambria Math" w:eastAsiaTheme="majorEastAsia" w:hAnsi="Cambria Math" w:cs="Calibri"/>
                  </w:rPr>
                  <m:t>1</m:t>
                </m:r>
              </m:sub>
            </m:sSub>
            <m:r>
              <w:rPr>
                <w:rStyle w:val="Aucun"/>
                <w:rFonts w:ascii="Cambria Math" w:eastAsiaTheme="majorEastAsia" w:hAnsi="Cambria Math" w:cs="Calibri"/>
              </w:rPr>
              <m:t>-</m:t>
            </m:r>
            <m:sSub>
              <m:sSubPr>
                <m:ctrlPr>
                  <w:rPr>
                    <w:rStyle w:val="Aucun"/>
                    <w:rFonts w:ascii="Cambria Math" w:eastAsiaTheme="majorEastAsia" w:hAnsi="Cambria Math" w:cs="Calibri"/>
                    <w:i/>
                    <w:iCs/>
                  </w:rPr>
                </m:ctrlPr>
              </m:sSubPr>
              <m:e>
                <m:r>
                  <w:rPr>
                    <w:rStyle w:val="Aucun"/>
                    <w:rFonts w:ascii="Cambria Math" w:eastAsiaTheme="majorEastAsia" w:hAnsi="Cambria Math" w:cs="Calibri"/>
                  </w:rPr>
                  <m:t>Q</m:t>
                </m:r>
              </m:e>
              <m:sub>
                <m:r>
                  <w:rPr>
                    <w:rStyle w:val="Aucun"/>
                    <w:rFonts w:ascii="Cambria Math" w:eastAsiaTheme="majorEastAsia" w:hAnsi="Cambria Math" w:cs="Calibri"/>
                  </w:rPr>
                  <m:t>2</m:t>
                </m:r>
              </m:sub>
            </m:sSub>
          </m:e>
        </m:d>
        <m:r>
          <w:rPr>
            <w:rStyle w:val="Aucun"/>
            <w:rFonts w:ascii="Cambria Math" w:eastAsiaTheme="majorEastAsia" w:hAnsi="Cambria Math" w:cs="Calibri"/>
            <w:bdr w:val="single" w:sz="4" w:space="0" w:color="auto"/>
          </w:rPr>
          <m:t xml:space="preserve"> </m:t>
        </m:r>
      </m:oMath>
    </w:p>
    <w:p w14:paraId="67A5ADA9" w14:textId="77777777" w:rsidR="00AA7DEB" w:rsidRPr="004A7417" w:rsidRDefault="00AA7DEB" w:rsidP="00AA7DEB">
      <w:pPr>
        <w:pStyle w:val="NormalWeb"/>
        <w:jc w:val="both"/>
        <w:rPr>
          <w:rFonts w:ascii="Calibri" w:hAnsi="Calibri" w:cs="Calibri"/>
        </w:rPr>
      </w:pPr>
      <w:bookmarkStart w:id="7" w:name="_Hlk180667105"/>
      <w:r>
        <w:rPr>
          <w:rFonts w:ascii="Calibri" w:hAnsi="Calibri" w:cs="Calibri"/>
        </w:rPr>
        <w:t>Les autorités financières indiquent le coefficient réducteur à lui afficher, compte tenu des volumes d’investissements nécessaire au stade de l’entreprise dans la chaine de valeur (y compris ceux nécessaires au stade des clients finaux)</w:t>
      </w:r>
      <w:r w:rsidRPr="004A7417">
        <w:rPr>
          <w:rFonts w:ascii="Calibri" w:hAnsi="Calibri" w:cs="Calibri"/>
        </w:rPr>
        <w:t>.</w:t>
      </w:r>
    </w:p>
    <w:bookmarkEnd w:id="2"/>
    <w:bookmarkEnd w:id="7"/>
    <w:p w14:paraId="5A0409E7" w14:textId="77777777" w:rsidR="00AA7DEB" w:rsidRPr="004A7417" w:rsidRDefault="00AA7DEB" w:rsidP="00AA7DEB">
      <w:pPr>
        <w:pStyle w:val="NormalWeb"/>
        <w:spacing w:before="0" w:beforeAutospacing="0"/>
        <w:jc w:val="both"/>
        <w:rPr>
          <w:rFonts w:ascii="Calibri" w:hAnsi="Calibri" w:cs="Calibri"/>
        </w:rPr>
      </w:pPr>
    </w:p>
    <w:p w14:paraId="65919829" w14:textId="77777777" w:rsidR="00CF0D2D" w:rsidRPr="004A7417" w:rsidRDefault="00CF0D2D" w:rsidP="00AA7DEB">
      <w:pPr>
        <w:pStyle w:val="NormalWeb"/>
        <w:jc w:val="both"/>
        <w:rPr>
          <w:rFonts w:ascii="Calibri" w:hAnsi="Calibri" w:cs="Calibri"/>
        </w:rPr>
      </w:pPr>
    </w:p>
    <w:sectPr w:rsidR="00CF0D2D" w:rsidRPr="004A7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4473A" w14:textId="77777777" w:rsidR="00DD1747" w:rsidRDefault="00DD1747" w:rsidP="006554F2">
      <w:pPr>
        <w:spacing w:after="0" w:line="240" w:lineRule="auto"/>
      </w:pPr>
      <w:r>
        <w:separator/>
      </w:r>
    </w:p>
  </w:endnote>
  <w:endnote w:type="continuationSeparator" w:id="0">
    <w:p w14:paraId="6D982C51" w14:textId="77777777" w:rsidR="00DD1747" w:rsidRDefault="00DD1747" w:rsidP="0065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93B48" w14:textId="77777777" w:rsidR="00DD1747" w:rsidRDefault="00DD1747" w:rsidP="006554F2">
      <w:pPr>
        <w:spacing w:after="0" w:line="240" w:lineRule="auto"/>
      </w:pPr>
      <w:r>
        <w:separator/>
      </w:r>
    </w:p>
  </w:footnote>
  <w:footnote w:type="continuationSeparator" w:id="0">
    <w:p w14:paraId="5E48998D" w14:textId="77777777" w:rsidR="00DD1747" w:rsidRDefault="00DD1747" w:rsidP="006554F2">
      <w:pPr>
        <w:spacing w:after="0" w:line="240" w:lineRule="auto"/>
      </w:pPr>
      <w:r>
        <w:continuationSeparator/>
      </w:r>
    </w:p>
  </w:footnote>
  <w:footnote w:id="1">
    <w:p w14:paraId="67FCD721" w14:textId="77777777" w:rsidR="00AA7DEB" w:rsidRPr="00030CFE" w:rsidRDefault="00AA7DEB" w:rsidP="00AA7DEB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  <w:lang w:eastAsia="fr-FR"/>
        </w:rPr>
      </w:pPr>
      <w:r w:rsidRPr="00030CFE">
        <w:rPr>
          <w:rStyle w:val="Appelnotedebasdep"/>
          <w:rFonts w:ascii="Calibri" w:hAnsi="Calibri" w:cs="Calibri"/>
          <w:sz w:val="22"/>
          <w:szCs w:val="22"/>
        </w:rPr>
        <w:footnoteRef/>
      </w:r>
      <w:r w:rsidRPr="00030CFE">
        <w:rPr>
          <w:rFonts w:ascii="Calibri" w:hAnsi="Calibri" w:cs="Calibri"/>
          <w:sz w:val="22"/>
          <w:szCs w:val="22"/>
        </w:rPr>
        <w:t xml:space="preserve"> La nomenclature de ce qui est acheté et ven</w:t>
      </w:r>
      <w:r>
        <w:rPr>
          <w:rFonts w:ascii="Calibri" w:hAnsi="Calibri" w:cs="Calibri"/>
          <w:sz w:val="22"/>
          <w:szCs w:val="22"/>
        </w:rPr>
        <w:t>d</w:t>
      </w:r>
      <w:r w:rsidRPr="00030CFE">
        <w:rPr>
          <w:rFonts w:ascii="Calibri" w:hAnsi="Calibri" w:cs="Calibri"/>
          <w:sz w:val="22"/>
          <w:szCs w:val="22"/>
        </w:rPr>
        <w:t xml:space="preserve">u est celle </w:t>
      </w:r>
      <w:r>
        <w:rPr>
          <w:rFonts w:ascii="Calibri" w:hAnsi="Calibri" w:cs="Calibri"/>
          <w:sz w:val="22"/>
          <w:szCs w:val="22"/>
        </w:rPr>
        <w:t xml:space="preserve">en vigueur dans </w:t>
      </w:r>
      <w:r w:rsidRPr="00030CFE">
        <w:rPr>
          <w:rFonts w:ascii="Calibri" w:hAnsi="Calibri" w:cs="Calibri"/>
          <w:sz w:val="22"/>
          <w:szCs w:val="22"/>
        </w:rPr>
        <w:t>l’entreprise</w:t>
      </w:r>
      <w:r w:rsidRPr="00030CFE">
        <w:rPr>
          <w:rFonts w:ascii="Calibri" w:hAnsi="Calibri" w:cs="Calibri"/>
          <w:color w:val="000000" w:themeColor="text1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723"/>
    <w:multiLevelType w:val="hybridMultilevel"/>
    <w:tmpl w:val="A5623B58"/>
    <w:lvl w:ilvl="0" w:tplc="CD722F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019C"/>
    <w:multiLevelType w:val="hybridMultilevel"/>
    <w:tmpl w:val="C90EBBA6"/>
    <w:lvl w:ilvl="0" w:tplc="4E7C4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543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604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2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9C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A1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2F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AE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24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F56AD6"/>
    <w:multiLevelType w:val="hybridMultilevel"/>
    <w:tmpl w:val="8A987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55C0C"/>
    <w:multiLevelType w:val="hybridMultilevel"/>
    <w:tmpl w:val="F1EA39D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162DD"/>
    <w:multiLevelType w:val="hybridMultilevel"/>
    <w:tmpl w:val="DA2C7F78"/>
    <w:lvl w:ilvl="0" w:tplc="5A26C72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946C8"/>
    <w:multiLevelType w:val="hybridMultilevel"/>
    <w:tmpl w:val="46A45890"/>
    <w:lvl w:ilvl="0" w:tplc="956011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E57A7"/>
    <w:multiLevelType w:val="hybridMultilevel"/>
    <w:tmpl w:val="E7FEBB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0673E"/>
    <w:multiLevelType w:val="hybridMultilevel"/>
    <w:tmpl w:val="F61C2924"/>
    <w:lvl w:ilvl="0" w:tplc="A55EA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20A32"/>
    <w:multiLevelType w:val="hybridMultilevel"/>
    <w:tmpl w:val="6BDC50CE"/>
    <w:lvl w:ilvl="0" w:tplc="028CFA9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C3088"/>
    <w:multiLevelType w:val="hybridMultilevel"/>
    <w:tmpl w:val="C80CF55E"/>
    <w:lvl w:ilvl="0" w:tplc="040C000F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E7DFA"/>
    <w:multiLevelType w:val="hybridMultilevel"/>
    <w:tmpl w:val="5F780F62"/>
    <w:lvl w:ilvl="0" w:tplc="778CAD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2604F"/>
    <w:multiLevelType w:val="hybridMultilevel"/>
    <w:tmpl w:val="8356235A"/>
    <w:lvl w:ilvl="0" w:tplc="E25ED3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37D29"/>
    <w:multiLevelType w:val="hybridMultilevel"/>
    <w:tmpl w:val="AC00211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B19A8"/>
    <w:multiLevelType w:val="hybridMultilevel"/>
    <w:tmpl w:val="CB52B85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321356"/>
    <w:multiLevelType w:val="hybridMultilevel"/>
    <w:tmpl w:val="25383D3E"/>
    <w:lvl w:ilvl="0" w:tplc="A55EA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6773D"/>
    <w:multiLevelType w:val="hybridMultilevel"/>
    <w:tmpl w:val="3642E77C"/>
    <w:lvl w:ilvl="0" w:tplc="3A6C9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156B9"/>
    <w:multiLevelType w:val="hybridMultilevel"/>
    <w:tmpl w:val="BA4C75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F35EB"/>
    <w:multiLevelType w:val="hybridMultilevel"/>
    <w:tmpl w:val="8F10D6E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7C0D47"/>
    <w:multiLevelType w:val="hybridMultilevel"/>
    <w:tmpl w:val="B07C3BE6"/>
    <w:lvl w:ilvl="0" w:tplc="D89EC1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42ED8"/>
    <w:multiLevelType w:val="hybridMultilevel"/>
    <w:tmpl w:val="B83C6FD6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E80585"/>
    <w:multiLevelType w:val="hybridMultilevel"/>
    <w:tmpl w:val="7840A1A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5957F0"/>
    <w:multiLevelType w:val="hybridMultilevel"/>
    <w:tmpl w:val="8F92570A"/>
    <w:lvl w:ilvl="0" w:tplc="9560118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22DCA"/>
    <w:multiLevelType w:val="hybridMultilevel"/>
    <w:tmpl w:val="3048B768"/>
    <w:lvl w:ilvl="0" w:tplc="E25ED3C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00022"/>
    <w:multiLevelType w:val="hybridMultilevel"/>
    <w:tmpl w:val="9E5E13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9F5EA3"/>
    <w:multiLevelType w:val="hybridMultilevel"/>
    <w:tmpl w:val="B0123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A49BC"/>
    <w:multiLevelType w:val="hybridMultilevel"/>
    <w:tmpl w:val="DCBEDE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D4DAB"/>
    <w:multiLevelType w:val="hybridMultilevel"/>
    <w:tmpl w:val="D8DAAD7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B00AC"/>
    <w:multiLevelType w:val="hybridMultilevel"/>
    <w:tmpl w:val="C518B8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A105B"/>
    <w:multiLevelType w:val="hybridMultilevel"/>
    <w:tmpl w:val="4142139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CD7D46"/>
    <w:multiLevelType w:val="hybridMultilevel"/>
    <w:tmpl w:val="49DCF7AE"/>
    <w:lvl w:ilvl="0" w:tplc="1AC6A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70633"/>
    <w:multiLevelType w:val="hybridMultilevel"/>
    <w:tmpl w:val="CA6046F4"/>
    <w:lvl w:ilvl="0" w:tplc="584E3E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7232DA"/>
    <w:multiLevelType w:val="hybridMultilevel"/>
    <w:tmpl w:val="25E898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8062796">
    <w:abstractNumId w:val="24"/>
  </w:num>
  <w:num w:numId="2" w16cid:durableId="368340611">
    <w:abstractNumId w:val="25"/>
  </w:num>
  <w:num w:numId="3" w16cid:durableId="826434878">
    <w:abstractNumId w:val="11"/>
  </w:num>
  <w:num w:numId="4" w16cid:durableId="1708332844">
    <w:abstractNumId w:val="22"/>
  </w:num>
  <w:num w:numId="5" w16cid:durableId="675546270">
    <w:abstractNumId w:val="23"/>
  </w:num>
  <w:num w:numId="6" w16cid:durableId="189728207">
    <w:abstractNumId w:val="29"/>
  </w:num>
  <w:num w:numId="7" w16cid:durableId="1891189998">
    <w:abstractNumId w:val="4"/>
  </w:num>
  <w:num w:numId="8" w16cid:durableId="1582566065">
    <w:abstractNumId w:val="12"/>
  </w:num>
  <w:num w:numId="9" w16cid:durableId="2132085673">
    <w:abstractNumId w:val="20"/>
  </w:num>
  <w:num w:numId="10" w16cid:durableId="989359706">
    <w:abstractNumId w:val="14"/>
  </w:num>
  <w:num w:numId="11" w16cid:durableId="1974600340">
    <w:abstractNumId w:val="7"/>
  </w:num>
  <w:num w:numId="12" w16cid:durableId="1560704072">
    <w:abstractNumId w:val="2"/>
  </w:num>
  <w:num w:numId="13" w16cid:durableId="2088266106">
    <w:abstractNumId w:val="13"/>
  </w:num>
  <w:num w:numId="14" w16cid:durableId="83066384">
    <w:abstractNumId w:val="8"/>
  </w:num>
  <w:num w:numId="15" w16cid:durableId="1259942430">
    <w:abstractNumId w:val="18"/>
  </w:num>
  <w:num w:numId="16" w16cid:durableId="173308567">
    <w:abstractNumId w:val="10"/>
  </w:num>
  <w:num w:numId="17" w16cid:durableId="1057046645">
    <w:abstractNumId w:val="1"/>
  </w:num>
  <w:num w:numId="18" w16cid:durableId="1738698345">
    <w:abstractNumId w:val="30"/>
  </w:num>
  <w:num w:numId="19" w16cid:durableId="804394550">
    <w:abstractNumId w:val="19"/>
  </w:num>
  <w:num w:numId="20" w16cid:durableId="1712798662">
    <w:abstractNumId w:val="26"/>
  </w:num>
  <w:num w:numId="21" w16cid:durableId="773866045">
    <w:abstractNumId w:val="0"/>
  </w:num>
  <w:num w:numId="22" w16cid:durableId="1774088255">
    <w:abstractNumId w:val="9"/>
  </w:num>
  <w:num w:numId="23" w16cid:durableId="1565795939">
    <w:abstractNumId w:val="16"/>
  </w:num>
  <w:num w:numId="24" w16cid:durableId="384333598">
    <w:abstractNumId w:val="3"/>
  </w:num>
  <w:num w:numId="25" w16cid:durableId="1127161392">
    <w:abstractNumId w:val="21"/>
  </w:num>
  <w:num w:numId="26" w16cid:durableId="1466385221">
    <w:abstractNumId w:val="28"/>
  </w:num>
  <w:num w:numId="27" w16cid:durableId="905335304">
    <w:abstractNumId w:val="17"/>
  </w:num>
  <w:num w:numId="28" w16cid:durableId="2106534581">
    <w:abstractNumId w:val="5"/>
  </w:num>
  <w:num w:numId="29" w16cid:durableId="1766684473">
    <w:abstractNumId w:val="15"/>
  </w:num>
  <w:num w:numId="30" w16cid:durableId="589969187">
    <w:abstractNumId w:val="31"/>
  </w:num>
  <w:num w:numId="31" w16cid:durableId="1991906956">
    <w:abstractNumId w:val="6"/>
  </w:num>
  <w:num w:numId="32" w16cid:durableId="752505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AF"/>
    <w:rsid w:val="00002B74"/>
    <w:rsid w:val="00002C17"/>
    <w:rsid w:val="000063C8"/>
    <w:rsid w:val="0000752D"/>
    <w:rsid w:val="00012BCE"/>
    <w:rsid w:val="00020C31"/>
    <w:rsid w:val="000210B5"/>
    <w:rsid w:val="00023396"/>
    <w:rsid w:val="0002341D"/>
    <w:rsid w:val="00024A33"/>
    <w:rsid w:val="00025F87"/>
    <w:rsid w:val="000301F3"/>
    <w:rsid w:val="00032026"/>
    <w:rsid w:val="00032919"/>
    <w:rsid w:val="00033DF6"/>
    <w:rsid w:val="00035028"/>
    <w:rsid w:val="0003697E"/>
    <w:rsid w:val="0004099C"/>
    <w:rsid w:val="00046A5D"/>
    <w:rsid w:val="00047F15"/>
    <w:rsid w:val="0005180F"/>
    <w:rsid w:val="00055EDC"/>
    <w:rsid w:val="00060AB2"/>
    <w:rsid w:val="00060D99"/>
    <w:rsid w:val="00061E05"/>
    <w:rsid w:val="00062B16"/>
    <w:rsid w:val="0006349E"/>
    <w:rsid w:val="00063996"/>
    <w:rsid w:val="00066EED"/>
    <w:rsid w:val="00067DD4"/>
    <w:rsid w:val="00070387"/>
    <w:rsid w:val="00072AFF"/>
    <w:rsid w:val="00073ADB"/>
    <w:rsid w:val="00073D98"/>
    <w:rsid w:val="00074127"/>
    <w:rsid w:val="000770E5"/>
    <w:rsid w:val="0007732C"/>
    <w:rsid w:val="0008065E"/>
    <w:rsid w:val="00080BEB"/>
    <w:rsid w:val="000819BB"/>
    <w:rsid w:val="00083EDB"/>
    <w:rsid w:val="00085D10"/>
    <w:rsid w:val="000860FA"/>
    <w:rsid w:val="000862BD"/>
    <w:rsid w:val="000865F2"/>
    <w:rsid w:val="000874FD"/>
    <w:rsid w:val="00090C76"/>
    <w:rsid w:val="00096750"/>
    <w:rsid w:val="00096955"/>
    <w:rsid w:val="000A0462"/>
    <w:rsid w:val="000A1476"/>
    <w:rsid w:val="000A1B5B"/>
    <w:rsid w:val="000A48E0"/>
    <w:rsid w:val="000A4EB7"/>
    <w:rsid w:val="000A5AB1"/>
    <w:rsid w:val="000B15E2"/>
    <w:rsid w:val="000B1B55"/>
    <w:rsid w:val="000B1B9A"/>
    <w:rsid w:val="000B2AA6"/>
    <w:rsid w:val="000B4E7B"/>
    <w:rsid w:val="000B50C0"/>
    <w:rsid w:val="000B5C7C"/>
    <w:rsid w:val="000B7012"/>
    <w:rsid w:val="000C270A"/>
    <w:rsid w:val="000C34FD"/>
    <w:rsid w:val="000C4B35"/>
    <w:rsid w:val="000C4E7B"/>
    <w:rsid w:val="000C5008"/>
    <w:rsid w:val="000C7265"/>
    <w:rsid w:val="000C7382"/>
    <w:rsid w:val="000D338A"/>
    <w:rsid w:val="000D353F"/>
    <w:rsid w:val="000D4D8D"/>
    <w:rsid w:val="000E2D26"/>
    <w:rsid w:val="000E3515"/>
    <w:rsid w:val="000E5EBF"/>
    <w:rsid w:val="000F12E5"/>
    <w:rsid w:val="000F6806"/>
    <w:rsid w:val="00100D91"/>
    <w:rsid w:val="001060BE"/>
    <w:rsid w:val="00106E8F"/>
    <w:rsid w:val="001144FC"/>
    <w:rsid w:val="0011519C"/>
    <w:rsid w:val="00120F2D"/>
    <w:rsid w:val="00121711"/>
    <w:rsid w:val="00123C9C"/>
    <w:rsid w:val="001247E0"/>
    <w:rsid w:val="0012508B"/>
    <w:rsid w:val="00125AD8"/>
    <w:rsid w:val="001264E4"/>
    <w:rsid w:val="00127658"/>
    <w:rsid w:val="00134D1C"/>
    <w:rsid w:val="00137C74"/>
    <w:rsid w:val="001403FB"/>
    <w:rsid w:val="0014314C"/>
    <w:rsid w:val="00145F95"/>
    <w:rsid w:val="001469F1"/>
    <w:rsid w:val="00147CD5"/>
    <w:rsid w:val="00151183"/>
    <w:rsid w:val="00155B6E"/>
    <w:rsid w:val="00157DCA"/>
    <w:rsid w:val="00160B78"/>
    <w:rsid w:val="00161450"/>
    <w:rsid w:val="001623F9"/>
    <w:rsid w:val="00170076"/>
    <w:rsid w:val="00175AFB"/>
    <w:rsid w:val="00176B4A"/>
    <w:rsid w:val="0018354D"/>
    <w:rsid w:val="001845D4"/>
    <w:rsid w:val="001853B4"/>
    <w:rsid w:val="00186A63"/>
    <w:rsid w:val="001918BF"/>
    <w:rsid w:val="0019387E"/>
    <w:rsid w:val="00193D93"/>
    <w:rsid w:val="001944A8"/>
    <w:rsid w:val="00195122"/>
    <w:rsid w:val="001951D5"/>
    <w:rsid w:val="001A66DF"/>
    <w:rsid w:val="001B0066"/>
    <w:rsid w:val="001B033B"/>
    <w:rsid w:val="001B230E"/>
    <w:rsid w:val="001B2901"/>
    <w:rsid w:val="001B62DE"/>
    <w:rsid w:val="001B7730"/>
    <w:rsid w:val="001B7BAB"/>
    <w:rsid w:val="001B7D43"/>
    <w:rsid w:val="001C2403"/>
    <w:rsid w:val="001C4184"/>
    <w:rsid w:val="001C60DC"/>
    <w:rsid w:val="001C77AD"/>
    <w:rsid w:val="001D35EA"/>
    <w:rsid w:val="001D4903"/>
    <w:rsid w:val="001E0838"/>
    <w:rsid w:val="001E10DD"/>
    <w:rsid w:val="001E2A99"/>
    <w:rsid w:val="001E5478"/>
    <w:rsid w:val="001E6FA8"/>
    <w:rsid w:val="001E6FD3"/>
    <w:rsid w:val="001E7FA7"/>
    <w:rsid w:val="001F12B4"/>
    <w:rsid w:val="001F202A"/>
    <w:rsid w:val="001F5DD9"/>
    <w:rsid w:val="002013D4"/>
    <w:rsid w:val="00202A3E"/>
    <w:rsid w:val="00206E49"/>
    <w:rsid w:val="002104E0"/>
    <w:rsid w:val="00210DB9"/>
    <w:rsid w:val="002139ED"/>
    <w:rsid w:val="002159D4"/>
    <w:rsid w:val="0022052D"/>
    <w:rsid w:val="00221752"/>
    <w:rsid w:val="00222AD0"/>
    <w:rsid w:val="00223336"/>
    <w:rsid w:val="00224BDF"/>
    <w:rsid w:val="0024219C"/>
    <w:rsid w:val="0024257F"/>
    <w:rsid w:val="00242C0F"/>
    <w:rsid w:val="00243718"/>
    <w:rsid w:val="0024638D"/>
    <w:rsid w:val="002468C1"/>
    <w:rsid w:val="002468D9"/>
    <w:rsid w:val="002517FF"/>
    <w:rsid w:val="00252E68"/>
    <w:rsid w:val="00253564"/>
    <w:rsid w:val="0025512C"/>
    <w:rsid w:val="002554B9"/>
    <w:rsid w:val="00256B54"/>
    <w:rsid w:val="00257713"/>
    <w:rsid w:val="0026066E"/>
    <w:rsid w:val="002611F9"/>
    <w:rsid w:val="00262865"/>
    <w:rsid w:val="00263D10"/>
    <w:rsid w:val="0026573B"/>
    <w:rsid w:val="00271428"/>
    <w:rsid w:val="00274103"/>
    <w:rsid w:val="00275D32"/>
    <w:rsid w:val="00280371"/>
    <w:rsid w:val="00280424"/>
    <w:rsid w:val="002817AD"/>
    <w:rsid w:val="00282D4F"/>
    <w:rsid w:val="002870E5"/>
    <w:rsid w:val="0029170A"/>
    <w:rsid w:val="002917A1"/>
    <w:rsid w:val="00293753"/>
    <w:rsid w:val="00297494"/>
    <w:rsid w:val="002A07ED"/>
    <w:rsid w:val="002A2E78"/>
    <w:rsid w:val="002A38D4"/>
    <w:rsid w:val="002A634F"/>
    <w:rsid w:val="002B0ED1"/>
    <w:rsid w:val="002B248B"/>
    <w:rsid w:val="002B7653"/>
    <w:rsid w:val="002C0E71"/>
    <w:rsid w:val="002C1FC2"/>
    <w:rsid w:val="002C26E3"/>
    <w:rsid w:val="002C2F33"/>
    <w:rsid w:val="002C6AA1"/>
    <w:rsid w:val="002D0111"/>
    <w:rsid w:val="002D1364"/>
    <w:rsid w:val="002D16CA"/>
    <w:rsid w:val="002D48C0"/>
    <w:rsid w:val="002D5376"/>
    <w:rsid w:val="002D68E4"/>
    <w:rsid w:val="002E19AB"/>
    <w:rsid w:val="002E45E6"/>
    <w:rsid w:val="002E4EE1"/>
    <w:rsid w:val="002E53E4"/>
    <w:rsid w:val="002E784B"/>
    <w:rsid w:val="002F0968"/>
    <w:rsid w:val="002F3F88"/>
    <w:rsid w:val="002F7939"/>
    <w:rsid w:val="0030380D"/>
    <w:rsid w:val="00311630"/>
    <w:rsid w:val="00312714"/>
    <w:rsid w:val="00313117"/>
    <w:rsid w:val="0031414C"/>
    <w:rsid w:val="00314E50"/>
    <w:rsid w:val="00316E5D"/>
    <w:rsid w:val="00320CA9"/>
    <w:rsid w:val="003220FF"/>
    <w:rsid w:val="00322D97"/>
    <w:rsid w:val="003259D8"/>
    <w:rsid w:val="00326BBF"/>
    <w:rsid w:val="003341AA"/>
    <w:rsid w:val="00334BDB"/>
    <w:rsid w:val="00335484"/>
    <w:rsid w:val="003355DE"/>
    <w:rsid w:val="00337933"/>
    <w:rsid w:val="003415AD"/>
    <w:rsid w:val="00341C2B"/>
    <w:rsid w:val="00345B04"/>
    <w:rsid w:val="003470B6"/>
    <w:rsid w:val="0035230B"/>
    <w:rsid w:val="00353798"/>
    <w:rsid w:val="00355542"/>
    <w:rsid w:val="00356BAA"/>
    <w:rsid w:val="0035749C"/>
    <w:rsid w:val="00360DB5"/>
    <w:rsid w:val="003613B3"/>
    <w:rsid w:val="00363980"/>
    <w:rsid w:val="00366574"/>
    <w:rsid w:val="00366E04"/>
    <w:rsid w:val="003672DA"/>
    <w:rsid w:val="00367AF4"/>
    <w:rsid w:val="00370EC2"/>
    <w:rsid w:val="00372197"/>
    <w:rsid w:val="00373AF1"/>
    <w:rsid w:val="00374949"/>
    <w:rsid w:val="00374FB2"/>
    <w:rsid w:val="00375522"/>
    <w:rsid w:val="003757E2"/>
    <w:rsid w:val="00377755"/>
    <w:rsid w:val="00380E59"/>
    <w:rsid w:val="00383EFB"/>
    <w:rsid w:val="0038602E"/>
    <w:rsid w:val="00386880"/>
    <w:rsid w:val="00386FAC"/>
    <w:rsid w:val="003875DA"/>
    <w:rsid w:val="0039576F"/>
    <w:rsid w:val="00396E61"/>
    <w:rsid w:val="003A5C08"/>
    <w:rsid w:val="003B2200"/>
    <w:rsid w:val="003B47C5"/>
    <w:rsid w:val="003B5299"/>
    <w:rsid w:val="003B5306"/>
    <w:rsid w:val="003B5FD1"/>
    <w:rsid w:val="003B77AB"/>
    <w:rsid w:val="003C05D3"/>
    <w:rsid w:val="003C172E"/>
    <w:rsid w:val="003C234C"/>
    <w:rsid w:val="003C5862"/>
    <w:rsid w:val="003C79FA"/>
    <w:rsid w:val="003D452F"/>
    <w:rsid w:val="003E0A74"/>
    <w:rsid w:val="003E1048"/>
    <w:rsid w:val="003E322C"/>
    <w:rsid w:val="003E331A"/>
    <w:rsid w:val="003F05C4"/>
    <w:rsid w:val="003F4AB2"/>
    <w:rsid w:val="003F716D"/>
    <w:rsid w:val="00400ABE"/>
    <w:rsid w:val="00400B42"/>
    <w:rsid w:val="0041577C"/>
    <w:rsid w:val="00420006"/>
    <w:rsid w:val="0042240B"/>
    <w:rsid w:val="00423BA5"/>
    <w:rsid w:val="00433A33"/>
    <w:rsid w:val="00446198"/>
    <w:rsid w:val="004463C4"/>
    <w:rsid w:val="00453C84"/>
    <w:rsid w:val="004546C8"/>
    <w:rsid w:val="00455C5E"/>
    <w:rsid w:val="004570B0"/>
    <w:rsid w:val="004603D1"/>
    <w:rsid w:val="00460B40"/>
    <w:rsid w:val="00461F40"/>
    <w:rsid w:val="00463F31"/>
    <w:rsid w:val="00466513"/>
    <w:rsid w:val="00474C44"/>
    <w:rsid w:val="00475A01"/>
    <w:rsid w:val="00483C1B"/>
    <w:rsid w:val="00484136"/>
    <w:rsid w:val="00491EC4"/>
    <w:rsid w:val="00495D4E"/>
    <w:rsid w:val="004A053D"/>
    <w:rsid w:val="004A0AA3"/>
    <w:rsid w:val="004A4DDA"/>
    <w:rsid w:val="004A59C7"/>
    <w:rsid w:val="004A7417"/>
    <w:rsid w:val="004B4523"/>
    <w:rsid w:val="004B500E"/>
    <w:rsid w:val="004B65AC"/>
    <w:rsid w:val="004C1C38"/>
    <w:rsid w:val="004C3A28"/>
    <w:rsid w:val="004E18BB"/>
    <w:rsid w:val="004E414E"/>
    <w:rsid w:val="004E429F"/>
    <w:rsid w:val="004E6668"/>
    <w:rsid w:val="004E7D8C"/>
    <w:rsid w:val="004F164A"/>
    <w:rsid w:val="004F2CB6"/>
    <w:rsid w:val="004F31D8"/>
    <w:rsid w:val="004F634D"/>
    <w:rsid w:val="004F7750"/>
    <w:rsid w:val="00500EC3"/>
    <w:rsid w:val="0050185B"/>
    <w:rsid w:val="00504A62"/>
    <w:rsid w:val="00504D41"/>
    <w:rsid w:val="005062B8"/>
    <w:rsid w:val="00510A22"/>
    <w:rsid w:val="00514824"/>
    <w:rsid w:val="005155E6"/>
    <w:rsid w:val="005161C2"/>
    <w:rsid w:val="00525316"/>
    <w:rsid w:val="00525858"/>
    <w:rsid w:val="00530164"/>
    <w:rsid w:val="00533EF4"/>
    <w:rsid w:val="005350FF"/>
    <w:rsid w:val="0053637B"/>
    <w:rsid w:val="005458B9"/>
    <w:rsid w:val="00552865"/>
    <w:rsid w:val="005554F4"/>
    <w:rsid w:val="00556EE7"/>
    <w:rsid w:val="00556F60"/>
    <w:rsid w:val="00561C1A"/>
    <w:rsid w:val="00564DF8"/>
    <w:rsid w:val="0057370A"/>
    <w:rsid w:val="00576EBA"/>
    <w:rsid w:val="0058075D"/>
    <w:rsid w:val="00580FA7"/>
    <w:rsid w:val="00582FAC"/>
    <w:rsid w:val="00587668"/>
    <w:rsid w:val="00590F95"/>
    <w:rsid w:val="00592239"/>
    <w:rsid w:val="00594A90"/>
    <w:rsid w:val="00595A09"/>
    <w:rsid w:val="005A1655"/>
    <w:rsid w:val="005A3D97"/>
    <w:rsid w:val="005A56FB"/>
    <w:rsid w:val="005B3C33"/>
    <w:rsid w:val="005C0407"/>
    <w:rsid w:val="005C5688"/>
    <w:rsid w:val="005C7343"/>
    <w:rsid w:val="005D192A"/>
    <w:rsid w:val="005D659A"/>
    <w:rsid w:val="005D7597"/>
    <w:rsid w:val="005E32CA"/>
    <w:rsid w:val="005E3A30"/>
    <w:rsid w:val="005E5BD4"/>
    <w:rsid w:val="005E5DB1"/>
    <w:rsid w:val="005E77B4"/>
    <w:rsid w:val="005F4E03"/>
    <w:rsid w:val="005F5FDD"/>
    <w:rsid w:val="005F7416"/>
    <w:rsid w:val="00603A3B"/>
    <w:rsid w:val="00606CFD"/>
    <w:rsid w:val="006135E5"/>
    <w:rsid w:val="006212F4"/>
    <w:rsid w:val="0062344F"/>
    <w:rsid w:val="00624FBC"/>
    <w:rsid w:val="00632A01"/>
    <w:rsid w:val="006339F3"/>
    <w:rsid w:val="00636FBF"/>
    <w:rsid w:val="00641A37"/>
    <w:rsid w:val="0064297F"/>
    <w:rsid w:val="006431D2"/>
    <w:rsid w:val="006436E0"/>
    <w:rsid w:val="00645395"/>
    <w:rsid w:val="00645AA6"/>
    <w:rsid w:val="006463A0"/>
    <w:rsid w:val="00651CCD"/>
    <w:rsid w:val="006554F2"/>
    <w:rsid w:val="00664324"/>
    <w:rsid w:val="006712B2"/>
    <w:rsid w:val="006807C3"/>
    <w:rsid w:val="00680DFC"/>
    <w:rsid w:val="00681F42"/>
    <w:rsid w:val="00682BBD"/>
    <w:rsid w:val="00687910"/>
    <w:rsid w:val="006906B6"/>
    <w:rsid w:val="0069174F"/>
    <w:rsid w:val="00691949"/>
    <w:rsid w:val="0069633A"/>
    <w:rsid w:val="006A2F5E"/>
    <w:rsid w:val="006A3207"/>
    <w:rsid w:val="006B14E3"/>
    <w:rsid w:val="006B1E84"/>
    <w:rsid w:val="006B5596"/>
    <w:rsid w:val="006B5B5F"/>
    <w:rsid w:val="006B719A"/>
    <w:rsid w:val="006C0ED9"/>
    <w:rsid w:val="006C36C9"/>
    <w:rsid w:val="006D54A6"/>
    <w:rsid w:val="006D6F31"/>
    <w:rsid w:val="006E00E7"/>
    <w:rsid w:val="006E1309"/>
    <w:rsid w:val="006E2A9E"/>
    <w:rsid w:val="006E2CD1"/>
    <w:rsid w:val="006E4C67"/>
    <w:rsid w:val="006E7009"/>
    <w:rsid w:val="006F0C44"/>
    <w:rsid w:val="006F1033"/>
    <w:rsid w:val="006F1567"/>
    <w:rsid w:val="006F5361"/>
    <w:rsid w:val="006F602A"/>
    <w:rsid w:val="00701C3D"/>
    <w:rsid w:val="0070636B"/>
    <w:rsid w:val="00706489"/>
    <w:rsid w:val="00711FD0"/>
    <w:rsid w:val="00712BE4"/>
    <w:rsid w:val="0071390E"/>
    <w:rsid w:val="00713D15"/>
    <w:rsid w:val="00714B1F"/>
    <w:rsid w:val="00714B20"/>
    <w:rsid w:val="007157B0"/>
    <w:rsid w:val="00716DCF"/>
    <w:rsid w:val="00720D35"/>
    <w:rsid w:val="00730865"/>
    <w:rsid w:val="007315F3"/>
    <w:rsid w:val="00735C44"/>
    <w:rsid w:val="007368A5"/>
    <w:rsid w:val="00736CC7"/>
    <w:rsid w:val="007451F3"/>
    <w:rsid w:val="007515B4"/>
    <w:rsid w:val="00751C02"/>
    <w:rsid w:val="007531A3"/>
    <w:rsid w:val="007606BF"/>
    <w:rsid w:val="00761C18"/>
    <w:rsid w:val="007640C7"/>
    <w:rsid w:val="00765A62"/>
    <w:rsid w:val="0077285C"/>
    <w:rsid w:val="00774DCE"/>
    <w:rsid w:val="00775544"/>
    <w:rsid w:val="007818D7"/>
    <w:rsid w:val="0078671E"/>
    <w:rsid w:val="007903EF"/>
    <w:rsid w:val="007914CB"/>
    <w:rsid w:val="00793360"/>
    <w:rsid w:val="00793B7B"/>
    <w:rsid w:val="00795FF2"/>
    <w:rsid w:val="00797ABA"/>
    <w:rsid w:val="007A154F"/>
    <w:rsid w:val="007A2571"/>
    <w:rsid w:val="007A56EA"/>
    <w:rsid w:val="007B1B5E"/>
    <w:rsid w:val="007B41B5"/>
    <w:rsid w:val="007B513E"/>
    <w:rsid w:val="007B79B5"/>
    <w:rsid w:val="007C0786"/>
    <w:rsid w:val="007D1E1B"/>
    <w:rsid w:val="007D2772"/>
    <w:rsid w:val="007D2D6E"/>
    <w:rsid w:val="007D42F7"/>
    <w:rsid w:val="007D4A77"/>
    <w:rsid w:val="007D4C26"/>
    <w:rsid w:val="007D6C13"/>
    <w:rsid w:val="007E20D8"/>
    <w:rsid w:val="007E38EC"/>
    <w:rsid w:val="007E3C47"/>
    <w:rsid w:val="007E4144"/>
    <w:rsid w:val="007E4730"/>
    <w:rsid w:val="007F05E7"/>
    <w:rsid w:val="007F387D"/>
    <w:rsid w:val="007F7838"/>
    <w:rsid w:val="00800710"/>
    <w:rsid w:val="008111E1"/>
    <w:rsid w:val="00812295"/>
    <w:rsid w:val="008154AE"/>
    <w:rsid w:val="008179A2"/>
    <w:rsid w:val="00821040"/>
    <w:rsid w:val="0082362B"/>
    <w:rsid w:val="00823D0C"/>
    <w:rsid w:val="008270F7"/>
    <w:rsid w:val="00831049"/>
    <w:rsid w:val="00831D56"/>
    <w:rsid w:val="00832424"/>
    <w:rsid w:val="00833DCA"/>
    <w:rsid w:val="00837667"/>
    <w:rsid w:val="00840EBD"/>
    <w:rsid w:val="008410C5"/>
    <w:rsid w:val="0084116B"/>
    <w:rsid w:val="00842B98"/>
    <w:rsid w:val="00844AA4"/>
    <w:rsid w:val="00852A04"/>
    <w:rsid w:val="008548D0"/>
    <w:rsid w:val="00856F0A"/>
    <w:rsid w:val="008576A4"/>
    <w:rsid w:val="0086078E"/>
    <w:rsid w:val="00861BB8"/>
    <w:rsid w:val="00862620"/>
    <w:rsid w:val="00863199"/>
    <w:rsid w:val="008631E7"/>
    <w:rsid w:val="008639A2"/>
    <w:rsid w:val="00870314"/>
    <w:rsid w:val="00874778"/>
    <w:rsid w:val="00875EF3"/>
    <w:rsid w:val="008773B2"/>
    <w:rsid w:val="00877401"/>
    <w:rsid w:val="00880E59"/>
    <w:rsid w:val="008819DA"/>
    <w:rsid w:val="0088269B"/>
    <w:rsid w:val="008827CD"/>
    <w:rsid w:val="008843F9"/>
    <w:rsid w:val="0088649A"/>
    <w:rsid w:val="0088673F"/>
    <w:rsid w:val="00887995"/>
    <w:rsid w:val="00890837"/>
    <w:rsid w:val="00890B54"/>
    <w:rsid w:val="00894F26"/>
    <w:rsid w:val="0089522F"/>
    <w:rsid w:val="00896F3B"/>
    <w:rsid w:val="00897950"/>
    <w:rsid w:val="008A4852"/>
    <w:rsid w:val="008A6310"/>
    <w:rsid w:val="008A6FD6"/>
    <w:rsid w:val="008B15D3"/>
    <w:rsid w:val="008B6643"/>
    <w:rsid w:val="008C05EB"/>
    <w:rsid w:val="008C0E97"/>
    <w:rsid w:val="008C10CA"/>
    <w:rsid w:val="008C2E8F"/>
    <w:rsid w:val="008C3BC2"/>
    <w:rsid w:val="008C7166"/>
    <w:rsid w:val="008D3861"/>
    <w:rsid w:val="008D5FE8"/>
    <w:rsid w:val="008E0120"/>
    <w:rsid w:val="008E21C2"/>
    <w:rsid w:val="008E2563"/>
    <w:rsid w:val="008F0558"/>
    <w:rsid w:val="008F1196"/>
    <w:rsid w:val="008F121D"/>
    <w:rsid w:val="008F6B3F"/>
    <w:rsid w:val="009001AD"/>
    <w:rsid w:val="0090285F"/>
    <w:rsid w:val="00903037"/>
    <w:rsid w:val="00903E53"/>
    <w:rsid w:val="00904CA0"/>
    <w:rsid w:val="00906A1D"/>
    <w:rsid w:val="00911088"/>
    <w:rsid w:val="00911823"/>
    <w:rsid w:val="00915B48"/>
    <w:rsid w:val="00920A0E"/>
    <w:rsid w:val="009235A7"/>
    <w:rsid w:val="00924046"/>
    <w:rsid w:val="00924D8B"/>
    <w:rsid w:val="009263B8"/>
    <w:rsid w:val="00927A1B"/>
    <w:rsid w:val="00927D60"/>
    <w:rsid w:val="00931A30"/>
    <w:rsid w:val="0093298D"/>
    <w:rsid w:val="0093607A"/>
    <w:rsid w:val="0093609B"/>
    <w:rsid w:val="00937B08"/>
    <w:rsid w:val="00940F74"/>
    <w:rsid w:val="00943171"/>
    <w:rsid w:val="00944F7C"/>
    <w:rsid w:val="00946570"/>
    <w:rsid w:val="00947296"/>
    <w:rsid w:val="00951110"/>
    <w:rsid w:val="009512E1"/>
    <w:rsid w:val="009579F5"/>
    <w:rsid w:val="00957F04"/>
    <w:rsid w:val="009616EE"/>
    <w:rsid w:val="00961850"/>
    <w:rsid w:val="00964E66"/>
    <w:rsid w:val="0096513E"/>
    <w:rsid w:val="0096527C"/>
    <w:rsid w:val="00973249"/>
    <w:rsid w:val="0097678E"/>
    <w:rsid w:val="00982E0C"/>
    <w:rsid w:val="0098515A"/>
    <w:rsid w:val="00987BA9"/>
    <w:rsid w:val="0099004C"/>
    <w:rsid w:val="00994B5D"/>
    <w:rsid w:val="0099534E"/>
    <w:rsid w:val="00996753"/>
    <w:rsid w:val="009979DC"/>
    <w:rsid w:val="009A043B"/>
    <w:rsid w:val="009A18C5"/>
    <w:rsid w:val="009A466A"/>
    <w:rsid w:val="009A64A0"/>
    <w:rsid w:val="009A711B"/>
    <w:rsid w:val="009A7CE1"/>
    <w:rsid w:val="009B08B7"/>
    <w:rsid w:val="009B19A8"/>
    <w:rsid w:val="009B35CA"/>
    <w:rsid w:val="009B35FB"/>
    <w:rsid w:val="009C0048"/>
    <w:rsid w:val="009C127D"/>
    <w:rsid w:val="009C3674"/>
    <w:rsid w:val="009C47B1"/>
    <w:rsid w:val="009C58D0"/>
    <w:rsid w:val="009C6474"/>
    <w:rsid w:val="009C6AF9"/>
    <w:rsid w:val="009D16BF"/>
    <w:rsid w:val="009D2D2A"/>
    <w:rsid w:val="009D4E45"/>
    <w:rsid w:val="009D5AFF"/>
    <w:rsid w:val="009E3996"/>
    <w:rsid w:val="009E5839"/>
    <w:rsid w:val="009E5A1E"/>
    <w:rsid w:val="009E7AA0"/>
    <w:rsid w:val="009F3400"/>
    <w:rsid w:val="009F5169"/>
    <w:rsid w:val="00A01125"/>
    <w:rsid w:val="00A25A5F"/>
    <w:rsid w:val="00A30A32"/>
    <w:rsid w:val="00A41B13"/>
    <w:rsid w:val="00A4792D"/>
    <w:rsid w:val="00A50F3D"/>
    <w:rsid w:val="00A512A5"/>
    <w:rsid w:val="00A52A2F"/>
    <w:rsid w:val="00A52FC2"/>
    <w:rsid w:val="00A54D8F"/>
    <w:rsid w:val="00A55A40"/>
    <w:rsid w:val="00A56664"/>
    <w:rsid w:val="00A60BCA"/>
    <w:rsid w:val="00A60DFB"/>
    <w:rsid w:val="00A616E3"/>
    <w:rsid w:val="00A62570"/>
    <w:rsid w:val="00A65351"/>
    <w:rsid w:val="00A71448"/>
    <w:rsid w:val="00A742EC"/>
    <w:rsid w:val="00A76894"/>
    <w:rsid w:val="00A77E12"/>
    <w:rsid w:val="00A81C50"/>
    <w:rsid w:val="00A843E3"/>
    <w:rsid w:val="00A84C63"/>
    <w:rsid w:val="00A8741B"/>
    <w:rsid w:val="00A96995"/>
    <w:rsid w:val="00AA1A05"/>
    <w:rsid w:val="00AA26C2"/>
    <w:rsid w:val="00AA7DEB"/>
    <w:rsid w:val="00AB277A"/>
    <w:rsid w:val="00AB5410"/>
    <w:rsid w:val="00AB6D23"/>
    <w:rsid w:val="00AB71D1"/>
    <w:rsid w:val="00AC0768"/>
    <w:rsid w:val="00AC2CAA"/>
    <w:rsid w:val="00AC3D76"/>
    <w:rsid w:val="00AC426B"/>
    <w:rsid w:val="00AC4327"/>
    <w:rsid w:val="00AD0B7D"/>
    <w:rsid w:val="00AD15C1"/>
    <w:rsid w:val="00AD5C7E"/>
    <w:rsid w:val="00AE0279"/>
    <w:rsid w:val="00AE0DB1"/>
    <w:rsid w:val="00AE37C4"/>
    <w:rsid w:val="00AE7549"/>
    <w:rsid w:val="00AF0D16"/>
    <w:rsid w:val="00AF1FB6"/>
    <w:rsid w:val="00AF2D1A"/>
    <w:rsid w:val="00AF34E3"/>
    <w:rsid w:val="00AF4901"/>
    <w:rsid w:val="00AF519D"/>
    <w:rsid w:val="00AF5B69"/>
    <w:rsid w:val="00AF6AA4"/>
    <w:rsid w:val="00B02157"/>
    <w:rsid w:val="00B022C4"/>
    <w:rsid w:val="00B030AF"/>
    <w:rsid w:val="00B03AF1"/>
    <w:rsid w:val="00B05481"/>
    <w:rsid w:val="00B06BA0"/>
    <w:rsid w:val="00B07005"/>
    <w:rsid w:val="00B15737"/>
    <w:rsid w:val="00B17688"/>
    <w:rsid w:val="00B27B28"/>
    <w:rsid w:val="00B27CBC"/>
    <w:rsid w:val="00B30652"/>
    <w:rsid w:val="00B318F6"/>
    <w:rsid w:val="00B31B1C"/>
    <w:rsid w:val="00B33017"/>
    <w:rsid w:val="00B3423F"/>
    <w:rsid w:val="00B4177B"/>
    <w:rsid w:val="00B430C9"/>
    <w:rsid w:val="00B43F14"/>
    <w:rsid w:val="00B50EEB"/>
    <w:rsid w:val="00B61F36"/>
    <w:rsid w:val="00B62FA6"/>
    <w:rsid w:val="00B634F8"/>
    <w:rsid w:val="00B66C85"/>
    <w:rsid w:val="00B7127C"/>
    <w:rsid w:val="00B7371D"/>
    <w:rsid w:val="00B7493E"/>
    <w:rsid w:val="00B75410"/>
    <w:rsid w:val="00B76C4B"/>
    <w:rsid w:val="00B779D0"/>
    <w:rsid w:val="00B77C87"/>
    <w:rsid w:val="00B808B1"/>
    <w:rsid w:val="00B81BA3"/>
    <w:rsid w:val="00B85489"/>
    <w:rsid w:val="00B9246D"/>
    <w:rsid w:val="00B96F07"/>
    <w:rsid w:val="00B97334"/>
    <w:rsid w:val="00BA0B33"/>
    <w:rsid w:val="00BA1482"/>
    <w:rsid w:val="00BA2529"/>
    <w:rsid w:val="00BA4EF2"/>
    <w:rsid w:val="00BA552C"/>
    <w:rsid w:val="00BA5E86"/>
    <w:rsid w:val="00BB3FC6"/>
    <w:rsid w:val="00BB7EA7"/>
    <w:rsid w:val="00BC5609"/>
    <w:rsid w:val="00BC5856"/>
    <w:rsid w:val="00BD428E"/>
    <w:rsid w:val="00BD56B2"/>
    <w:rsid w:val="00BE32CB"/>
    <w:rsid w:val="00BE34D8"/>
    <w:rsid w:val="00BE3ACE"/>
    <w:rsid w:val="00BE4474"/>
    <w:rsid w:val="00BE7B07"/>
    <w:rsid w:val="00BF2850"/>
    <w:rsid w:val="00BF421F"/>
    <w:rsid w:val="00C00A5B"/>
    <w:rsid w:val="00C02F7E"/>
    <w:rsid w:val="00C04E90"/>
    <w:rsid w:val="00C10A0C"/>
    <w:rsid w:val="00C1188C"/>
    <w:rsid w:val="00C11E65"/>
    <w:rsid w:val="00C12D97"/>
    <w:rsid w:val="00C1361E"/>
    <w:rsid w:val="00C1420C"/>
    <w:rsid w:val="00C15BF2"/>
    <w:rsid w:val="00C162F5"/>
    <w:rsid w:val="00C16F7F"/>
    <w:rsid w:val="00C17BBB"/>
    <w:rsid w:val="00C20B9D"/>
    <w:rsid w:val="00C21688"/>
    <w:rsid w:val="00C217BE"/>
    <w:rsid w:val="00C238DD"/>
    <w:rsid w:val="00C275F7"/>
    <w:rsid w:val="00C32663"/>
    <w:rsid w:val="00C342E1"/>
    <w:rsid w:val="00C36E51"/>
    <w:rsid w:val="00C4219E"/>
    <w:rsid w:val="00C432CD"/>
    <w:rsid w:val="00C447E3"/>
    <w:rsid w:val="00C46000"/>
    <w:rsid w:val="00C47C66"/>
    <w:rsid w:val="00C52365"/>
    <w:rsid w:val="00C53236"/>
    <w:rsid w:val="00C53AE7"/>
    <w:rsid w:val="00C56B72"/>
    <w:rsid w:val="00C60FC0"/>
    <w:rsid w:val="00C6213C"/>
    <w:rsid w:val="00C64BA3"/>
    <w:rsid w:val="00C676FF"/>
    <w:rsid w:val="00C67EE2"/>
    <w:rsid w:val="00C72C1A"/>
    <w:rsid w:val="00C743D6"/>
    <w:rsid w:val="00C74D55"/>
    <w:rsid w:val="00C74DFA"/>
    <w:rsid w:val="00C753D6"/>
    <w:rsid w:val="00C824F7"/>
    <w:rsid w:val="00C83891"/>
    <w:rsid w:val="00C85229"/>
    <w:rsid w:val="00C9011B"/>
    <w:rsid w:val="00C93F0A"/>
    <w:rsid w:val="00C97ABD"/>
    <w:rsid w:val="00CA3931"/>
    <w:rsid w:val="00CA3A2D"/>
    <w:rsid w:val="00CB0648"/>
    <w:rsid w:val="00CB0773"/>
    <w:rsid w:val="00CB3B9C"/>
    <w:rsid w:val="00CB7EDA"/>
    <w:rsid w:val="00CC5453"/>
    <w:rsid w:val="00CC64D7"/>
    <w:rsid w:val="00CD1AB5"/>
    <w:rsid w:val="00CD32DC"/>
    <w:rsid w:val="00CD57EB"/>
    <w:rsid w:val="00CD6951"/>
    <w:rsid w:val="00CD6BDE"/>
    <w:rsid w:val="00CE02A3"/>
    <w:rsid w:val="00CE3122"/>
    <w:rsid w:val="00CE355B"/>
    <w:rsid w:val="00CE3C7E"/>
    <w:rsid w:val="00CF087F"/>
    <w:rsid w:val="00CF0D2D"/>
    <w:rsid w:val="00CF0F0F"/>
    <w:rsid w:val="00CF42F1"/>
    <w:rsid w:val="00D01196"/>
    <w:rsid w:val="00D038EC"/>
    <w:rsid w:val="00D104E7"/>
    <w:rsid w:val="00D11BC3"/>
    <w:rsid w:val="00D16F2E"/>
    <w:rsid w:val="00D208AF"/>
    <w:rsid w:val="00D21115"/>
    <w:rsid w:val="00D251C6"/>
    <w:rsid w:val="00D2533A"/>
    <w:rsid w:val="00D27DD0"/>
    <w:rsid w:val="00D403A9"/>
    <w:rsid w:val="00D43CF1"/>
    <w:rsid w:val="00D518C1"/>
    <w:rsid w:val="00D52737"/>
    <w:rsid w:val="00D6174F"/>
    <w:rsid w:val="00D61F26"/>
    <w:rsid w:val="00D64A9E"/>
    <w:rsid w:val="00D64AE4"/>
    <w:rsid w:val="00D7551E"/>
    <w:rsid w:val="00D772F7"/>
    <w:rsid w:val="00D7775F"/>
    <w:rsid w:val="00D777D5"/>
    <w:rsid w:val="00D80244"/>
    <w:rsid w:val="00D875A6"/>
    <w:rsid w:val="00D958CD"/>
    <w:rsid w:val="00D968AD"/>
    <w:rsid w:val="00D97AA2"/>
    <w:rsid w:val="00DA0B3B"/>
    <w:rsid w:val="00DA0FA6"/>
    <w:rsid w:val="00DA6EC1"/>
    <w:rsid w:val="00DB2682"/>
    <w:rsid w:val="00DB28FB"/>
    <w:rsid w:val="00DB4838"/>
    <w:rsid w:val="00DB5A91"/>
    <w:rsid w:val="00DB606A"/>
    <w:rsid w:val="00DB6308"/>
    <w:rsid w:val="00DB72AF"/>
    <w:rsid w:val="00DC0CF4"/>
    <w:rsid w:val="00DC2A3D"/>
    <w:rsid w:val="00DC2E12"/>
    <w:rsid w:val="00DC3094"/>
    <w:rsid w:val="00DC6AD4"/>
    <w:rsid w:val="00DC6D5A"/>
    <w:rsid w:val="00DD1050"/>
    <w:rsid w:val="00DD1747"/>
    <w:rsid w:val="00DD20CC"/>
    <w:rsid w:val="00DD6D42"/>
    <w:rsid w:val="00DE0008"/>
    <w:rsid w:val="00DE1DA6"/>
    <w:rsid w:val="00DE75F1"/>
    <w:rsid w:val="00DF2A7A"/>
    <w:rsid w:val="00DF2A91"/>
    <w:rsid w:val="00DF3F6E"/>
    <w:rsid w:val="00DF5CE3"/>
    <w:rsid w:val="00DF67A5"/>
    <w:rsid w:val="00DF76E4"/>
    <w:rsid w:val="00E018C7"/>
    <w:rsid w:val="00E023B6"/>
    <w:rsid w:val="00E06108"/>
    <w:rsid w:val="00E10DF7"/>
    <w:rsid w:val="00E133DD"/>
    <w:rsid w:val="00E22873"/>
    <w:rsid w:val="00E277D0"/>
    <w:rsid w:val="00E3370F"/>
    <w:rsid w:val="00E34F85"/>
    <w:rsid w:val="00E40087"/>
    <w:rsid w:val="00E414F7"/>
    <w:rsid w:val="00E43DBB"/>
    <w:rsid w:val="00E4595E"/>
    <w:rsid w:val="00E52996"/>
    <w:rsid w:val="00E52C23"/>
    <w:rsid w:val="00E54531"/>
    <w:rsid w:val="00E5520D"/>
    <w:rsid w:val="00E602B2"/>
    <w:rsid w:val="00E60FDD"/>
    <w:rsid w:val="00E625A2"/>
    <w:rsid w:val="00E6387B"/>
    <w:rsid w:val="00E659FB"/>
    <w:rsid w:val="00E66DA3"/>
    <w:rsid w:val="00E66F40"/>
    <w:rsid w:val="00E73BAC"/>
    <w:rsid w:val="00E73FCE"/>
    <w:rsid w:val="00E7539D"/>
    <w:rsid w:val="00E77047"/>
    <w:rsid w:val="00E8114F"/>
    <w:rsid w:val="00E82C7E"/>
    <w:rsid w:val="00E83390"/>
    <w:rsid w:val="00E85A0E"/>
    <w:rsid w:val="00E93B12"/>
    <w:rsid w:val="00E94632"/>
    <w:rsid w:val="00E95935"/>
    <w:rsid w:val="00EA2ECC"/>
    <w:rsid w:val="00EA4472"/>
    <w:rsid w:val="00EB0607"/>
    <w:rsid w:val="00EB3C2D"/>
    <w:rsid w:val="00EB4C38"/>
    <w:rsid w:val="00EB693E"/>
    <w:rsid w:val="00EC17BF"/>
    <w:rsid w:val="00EC1E4D"/>
    <w:rsid w:val="00EC25C1"/>
    <w:rsid w:val="00EC33AE"/>
    <w:rsid w:val="00EC57C7"/>
    <w:rsid w:val="00EC6FF1"/>
    <w:rsid w:val="00EC725A"/>
    <w:rsid w:val="00EC7C42"/>
    <w:rsid w:val="00ED0992"/>
    <w:rsid w:val="00ED09AE"/>
    <w:rsid w:val="00ED0CE6"/>
    <w:rsid w:val="00ED4321"/>
    <w:rsid w:val="00ED5546"/>
    <w:rsid w:val="00ED6B2A"/>
    <w:rsid w:val="00EE1F97"/>
    <w:rsid w:val="00EE7CEB"/>
    <w:rsid w:val="00EF1DFB"/>
    <w:rsid w:val="00EF4454"/>
    <w:rsid w:val="00EF7C58"/>
    <w:rsid w:val="00F045C7"/>
    <w:rsid w:val="00F101F9"/>
    <w:rsid w:val="00F13AFD"/>
    <w:rsid w:val="00F23191"/>
    <w:rsid w:val="00F23430"/>
    <w:rsid w:val="00F25BB3"/>
    <w:rsid w:val="00F3007E"/>
    <w:rsid w:val="00F322DC"/>
    <w:rsid w:val="00F3239C"/>
    <w:rsid w:val="00F341C0"/>
    <w:rsid w:val="00F36256"/>
    <w:rsid w:val="00F36529"/>
    <w:rsid w:val="00F40F55"/>
    <w:rsid w:val="00F44181"/>
    <w:rsid w:val="00F453E2"/>
    <w:rsid w:val="00F46908"/>
    <w:rsid w:val="00F47F2F"/>
    <w:rsid w:val="00F5037C"/>
    <w:rsid w:val="00F50468"/>
    <w:rsid w:val="00F53D30"/>
    <w:rsid w:val="00F547A6"/>
    <w:rsid w:val="00F55A0B"/>
    <w:rsid w:val="00F55D13"/>
    <w:rsid w:val="00F60C1D"/>
    <w:rsid w:val="00F65B34"/>
    <w:rsid w:val="00F66E8D"/>
    <w:rsid w:val="00F71923"/>
    <w:rsid w:val="00F74BDA"/>
    <w:rsid w:val="00F82B1E"/>
    <w:rsid w:val="00F83279"/>
    <w:rsid w:val="00F879C8"/>
    <w:rsid w:val="00F95207"/>
    <w:rsid w:val="00FA182D"/>
    <w:rsid w:val="00FA1BC6"/>
    <w:rsid w:val="00FA3CEC"/>
    <w:rsid w:val="00FA6A28"/>
    <w:rsid w:val="00FA7286"/>
    <w:rsid w:val="00FB1827"/>
    <w:rsid w:val="00FB4FD2"/>
    <w:rsid w:val="00FB7D4A"/>
    <w:rsid w:val="00FC433C"/>
    <w:rsid w:val="00FC4DB7"/>
    <w:rsid w:val="00FC52B8"/>
    <w:rsid w:val="00FC5BE7"/>
    <w:rsid w:val="00FC5E84"/>
    <w:rsid w:val="00FD017A"/>
    <w:rsid w:val="00FD15CB"/>
    <w:rsid w:val="00FD3F97"/>
    <w:rsid w:val="00FD4189"/>
    <w:rsid w:val="00FD56CC"/>
    <w:rsid w:val="00FD66AA"/>
    <w:rsid w:val="00FE09B5"/>
    <w:rsid w:val="00FE49CC"/>
    <w:rsid w:val="00FE4FFE"/>
    <w:rsid w:val="00FE5CCD"/>
    <w:rsid w:val="00FF1872"/>
    <w:rsid w:val="00FF2519"/>
    <w:rsid w:val="00FF27D0"/>
    <w:rsid w:val="00FF3C2E"/>
    <w:rsid w:val="00FF459E"/>
    <w:rsid w:val="00FF561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83A6"/>
  <w15:chartTrackingRefBased/>
  <w15:docId w15:val="{CC4A3485-237C-4300-ACCB-731C14F8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7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7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7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7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B7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7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7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7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7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7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7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7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72A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DB72A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72A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72A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72A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72A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7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7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7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7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7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72A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72A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72A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7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72A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72AF"/>
    <w:rPr>
      <w:b/>
      <w:bCs/>
      <w:smallCaps/>
      <w:color w:val="0F4761" w:themeColor="accent1" w:themeShade="BF"/>
      <w:spacing w:val="5"/>
    </w:rPr>
  </w:style>
  <w:style w:type="paragraph" w:customStyle="1" w:styleId="pf0">
    <w:name w:val="pf0"/>
    <w:basedOn w:val="Normal"/>
    <w:rsid w:val="008C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cf01">
    <w:name w:val="cf01"/>
    <w:basedOn w:val="Policepardfaut"/>
    <w:rsid w:val="008C7166"/>
    <w:rPr>
      <w:rFonts w:ascii="Segoe UI" w:hAnsi="Segoe UI" w:cs="Segoe UI" w:hint="default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F50468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F50468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F50468"/>
    <w:rPr>
      <w:sz w:val="16"/>
      <w:szCs w:val="16"/>
    </w:rPr>
  </w:style>
  <w:style w:type="paragraph" w:styleId="Sansinterligne">
    <w:name w:val="No Spacing"/>
    <w:uiPriority w:val="1"/>
    <w:qFormat/>
    <w:rsid w:val="007F05E7"/>
    <w:pPr>
      <w:spacing w:after="0" w:line="240" w:lineRule="auto"/>
    </w:pPr>
  </w:style>
  <w:style w:type="character" w:customStyle="1" w:styleId="Aucun">
    <w:name w:val="Aucun"/>
    <w:rsid w:val="009C58D0"/>
    <w:rPr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54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54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54F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E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E2CD1"/>
    <w:rPr>
      <w:b/>
      <w:bCs/>
    </w:rPr>
  </w:style>
  <w:style w:type="paragraph" w:customStyle="1" w:styleId="CorpsA">
    <w:name w:val="Corps A"/>
    <w:rsid w:val="000B4E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ptos" w:eastAsia="Aptos" w:hAnsi="Aptos" w:cs="Apto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208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208A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FEC054CC034F8EDB76F1A360ED82" ma:contentTypeVersion="13" ma:contentTypeDescription="Crée un document." ma:contentTypeScope="" ma:versionID="4d1f7843dafbaf7060fbb41923145e75">
  <xsd:schema xmlns:xsd="http://www.w3.org/2001/XMLSchema" xmlns:xs="http://www.w3.org/2001/XMLSchema" xmlns:p="http://schemas.microsoft.com/office/2006/metadata/properties" xmlns:ns3="11b42e21-0980-4b78-a495-b69f5cacdeea" targetNamespace="http://schemas.microsoft.com/office/2006/metadata/properties" ma:root="true" ma:fieldsID="88687c60a19a4cb56067ce16b3b1454c" ns3:_="">
    <xsd:import namespace="11b42e21-0980-4b78-a495-b69f5cacde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42e21-0980-4b78-a495-b69f5cacd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b42e21-0980-4b78-a495-b69f5cacdeea" xsi:nil="true"/>
  </documentManagement>
</p:properties>
</file>

<file path=customXml/itemProps1.xml><?xml version="1.0" encoding="utf-8"?>
<ds:datastoreItem xmlns:ds="http://schemas.openxmlformats.org/officeDocument/2006/customXml" ds:itemID="{F7943785-D63D-47B7-946E-6DF9DCAE1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42e21-0980-4b78-a495-b69f5cacd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481F6-4FBB-457C-B1AF-34CC621F7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096B2-A4E3-4698-8002-4B5C0CFFDF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918856-F1EB-4BCE-996B-B6CB631919A1}">
  <ds:schemaRefs>
    <ds:schemaRef ds:uri="http://schemas.microsoft.com/office/2006/metadata/properties"/>
    <ds:schemaRef ds:uri="http://schemas.microsoft.com/office/infopath/2007/PartnerControls"/>
    <ds:schemaRef ds:uri="11b42e21-0980-4b78-a495-b69f5cacde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948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cazes</dc:creator>
  <cp:keywords/>
  <dc:description/>
  <cp:lastModifiedBy>Valérie Vanwormhoudt</cp:lastModifiedBy>
  <cp:revision>3</cp:revision>
  <dcterms:created xsi:type="dcterms:W3CDTF">2025-01-27T08:52:00Z</dcterms:created>
  <dcterms:modified xsi:type="dcterms:W3CDTF">2025-01-27T08:58:00Z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0x010100E73EFEC054CC034F8EDB76F1A360ED82</vt:lpwstr>
  </property>
</Properties>
</file>