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A9824" w14:textId="47D863DC" w:rsidR="0064297F" w:rsidRPr="004A7417" w:rsidRDefault="0064297F" w:rsidP="00252E68">
      <w:pPr>
        <w:ind w:left="708"/>
        <w:jc w:val="both"/>
        <w:rPr>
          <w:rFonts w:ascii="Calibri" w:hAnsi="Calibri" w:cs="Calibri"/>
        </w:rPr>
      </w:pPr>
      <w:bookmarkStart w:id="0" w:name="_Hlk173497933"/>
      <w:r w:rsidRPr="004A7417">
        <w:rPr>
          <w:rFonts w:ascii="Calibri" w:hAnsi="Calibri" w:cs="Calibri"/>
        </w:rPr>
        <w:t>(</w:t>
      </w:r>
      <w:r w:rsidR="00DF67A5">
        <w:rPr>
          <w:rFonts w:ascii="Calibri" w:hAnsi="Calibri" w:cs="Calibri"/>
        </w:rPr>
        <w:t>V</w:t>
      </w:r>
      <w:r w:rsidRPr="004A7417">
        <w:rPr>
          <w:rFonts w:ascii="Calibri" w:hAnsi="Calibri" w:cs="Calibri"/>
        </w:rPr>
        <w:t xml:space="preserve">ersion au </w:t>
      </w:r>
      <w:r w:rsidR="00252E68" w:rsidRPr="004A7417">
        <w:rPr>
          <w:rFonts w:ascii="Calibri" w:hAnsi="Calibri" w:cs="Calibri"/>
        </w:rPr>
        <w:t>1</w:t>
      </w:r>
      <w:r w:rsidRPr="004A7417">
        <w:rPr>
          <w:rFonts w:ascii="Calibri" w:hAnsi="Calibri" w:cs="Calibri"/>
        </w:rPr>
        <w:t>/</w:t>
      </w:r>
      <w:r w:rsidR="007D42F7" w:rsidRPr="004A7417">
        <w:rPr>
          <w:rFonts w:ascii="Calibri" w:hAnsi="Calibri" w:cs="Calibri"/>
        </w:rPr>
        <w:t>1</w:t>
      </w:r>
      <w:r w:rsidR="00252E68" w:rsidRPr="004A7417">
        <w:rPr>
          <w:rFonts w:ascii="Calibri" w:hAnsi="Calibri" w:cs="Calibri"/>
        </w:rPr>
        <w:t>1</w:t>
      </w:r>
      <w:r w:rsidRPr="004A7417">
        <w:rPr>
          <w:rFonts w:ascii="Calibri" w:hAnsi="Calibri" w:cs="Calibri"/>
        </w:rPr>
        <w:t>/24)</w:t>
      </w:r>
    </w:p>
    <w:p w14:paraId="342207AF" w14:textId="77777777" w:rsidR="0098515A" w:rsidRPr="004A7417" w:rsidRDefault="0098515A" w:rsidP="00252E68">
      <w:pPr>
        <w:ind w:left="708"/>
        <w:jc w:val="both"/>
        <w:rPr>
          <w:rFonts w:ascii="Calibri" w:hAnsi="Calibri" w:cs="Calibri"/>
        </w:rPr>
      </w:pPr>
    </w:p>
    <w:p w14:paraId="0CCC5121" w14:textId="77777777" w:rsidR="0098515A" w:rsidRPr="004A7417" w:rsidRDefault="0098515A" w:rsidP="00252E68">
      <w:pPr>
        <w:ind w:left="708"/>
        <w:jc w:val="both"/>
        <w:rPr>
          <w:rFonts w:ascii="Calibri" w:hAnsi="Calibri" w:cs="Calibri"/>
        </w:rPr>
      </w:pPr>
    </w:p>
    <w:p w14:paraId="2ABABF4F" w14:textId="22944BBD" w:rsidR="00D6174F" w:rsidRPr="004A7417" w:rsidRDefault="007F7838" w:rsidP="00252E68">
      <w:pPr>
        <w:spacing w:after="0"/>
        <w:jc w:val="both"/>
        <w:rPr>
          <w:rFonts w:ascii="Calibri" w:hAnsi="Calibri" w:cs="Calibri"/>
          <w:b/>
          <w:bCs/>
        </w:rPr>
      </w:pPr>
      <w:r w:rsidRPr="004A7417">
        <w:rPr>
          <w:rFonts w:ascii="Calibri" w:hAnsi="Calibri" w:cs="Calibri"/>
          <w:b/>
          <w:bCs/>
        </w:rPr>
        <w:t>M</w:t>
      </w:r>
      <w:r w:rsidR="00E277D0" w:rsidRPr="004A7417">
        <w:rPr>
          <w:rFonts w:ascii="Calibri" w:hAnsi="Calibri" w:cs="Calibri"/>
          <w:b/>
          <w:bCs/>
        </w:rPr>
        <w:t xml:space="preserve">éthode </w:t>
      </w:r>
      <w:r w:rsidR="00483C1B" w:rsidRPr="004A7417">
        <w:rPr>
          <w:rFonts w:ascii="Calibri" w:hAnsi="Calibri" w:cs="Calibri"/>
          <w:b/>
          <w:bCs/>
        </w:rPr>
        <w:t xml:space="preserve">3D </w:t>
      </w:r>
      <w:r w:rsidR="00D6174F" w:rsidRPr="004A7417">
        <w:rPr>
          <w:rFonts w:ascii="Calibri" w:hAnsi="Calibri" w:cs="Calibri"/>
          <w:b/>
          <w:bCs/>
        </w:rPr>
        <w:t>permett</w:t>
      </w:r>
      <w:r w:rsidR="00483C1B" w:rsidRPr="004A7417">
        <w:rPr>
          <w:rFonts w:ascii="Calibri" w:hAnsi="Calibri" w:cs="Calibri"/>
          <w:b/>
          <w:bCs/>
        </w:rPr>
        <w:t>ant</w:t>
      </w:r>
      <w:r w:rsidR="00D6174F" w:rsidRPr="004A7417">
        <w:rPr>
          <w:rFonts w:ascii="Calibri" w:hAnsi="Calibri" w:cs="Calibri"/>
          <w:b/>
          <w:bCs/>
        </w:rPr>
        <w:t xml:space="preserve"> à une entreprise de </w:t>
      </w:r>
      <w:r w:rsidR="00E277D0" w:rsidRPr="004A7417">
        <w:rPr>
          <w:rFonts w:ascii="Calibri" w:hAnsi="Calibri" w:cs="Calibri"/>
          <w:b/>
          <w:bCs/>
        </w:rPr>
        <w:t>mesure</w:t>
      </w:r>
      <w:r w:rsidR="001C77AD" w:rsidRPr="004A7417">
        <w:rPr>
          <w:rFonts w:ascii="Calibri" w:hAnsi="Calibri" w:cs="Calibri"/>
          <w:b/>
          <w:bCs/>
        </w:rPr>
        <w:t>r</w:t>
      </w:r>
      <w:r w:rsidR="00E277D0" w:rsidRPr="004A7417">
        <w:rPr>
          <w:rFonts w:ascii="Calibri" w:hAnsi="Calibri" w:cs="Calibri"/>
          <w:b/>
          <w:bCs/>
        </w:rPr>
        <w:t xml:space="preserve"> </w:t>
      </w:r>
      <w:r w:rsidR="00556F60" w:rsidRPr="004A7417">
        <w:rPr>
          <w:rFonts w:ascii="Calibri" w:hAnsi="Calibri" w:cs="Calibri"/>
          <w:b/>
          <w:bCs/>
        </w:rPr>
        <w:t xml:space="preserve">et </w:t>
      </w:r>
      <w:r w:rsidR="001C77AD" w:rsidRPr="004A7417">
        <w:rPr>
          <w:rFonts w:ascii="Calibri" w:hAnsi="Calibri" w:cs="Calibri"/>
          <w:b/>
          <w:bCs/>
        </w:rPr>
        <w:t>transmettre</w:t>
      </w:r>
    </w:p>
    <w:p w14:paraId="34AB12DB" w14:textId="7263FDD7" w:rsidR="00DE75F1" w:rsidRPr="004A7417" w:rsidRDefault="00BA1482" w:rsidP="00252E68">
      <w:pPr>
        <w:spacing w:after="0"/>
        <w:jc w:val="both"/>
        <w:rPr>
          <w:rFonts w:ascii="Calibri" w:hAnsi="Calibri" w:cs="Calibri"/>
          <w:b/>
          <w:bCs/>
        </w:rPr>
      </w:pPr>
      <w:r w:rsidRPr="004A7417">
        <w:rPr>
          <w:rFonts w:ascii="Calibri" w:hAnsi="Calibri" w:cs="Calibri"/>
          <w:b/>
          <w:bCs/>
        </w:rPr>
        <w:t>1</w:t>
      </w:r>
      <w:r w:rsidR="000819BB" w:rsidRPr="004A7417">
        <w:rPr>
          <w:rFonts w:ascii="Calibri" w:hAnsi="Calibri" w:cs="Calibri"/>
          <w:b/>
          <w:bCs/>
        </w:rPr>
        <w:t>-</w:t>
      </w:r>
      <w:r w:rsidRPr="004A7417">
        <w:rPr>
          <w:rFonts w:ascii="Calibri" w:hAnsi="Calibri" w:cs="Calibri"/>
          <w:b/>
          <w:bCs/>
        </w:rPr>
        <w:t xml:space="preserve"> </w:t>
      </w:r>
      <w:r w:rsidR="001C77AD" w:rsidRPr="004A7417">
        <w:rPr>
          <w:rFonts w:ascii="Calibri" w:hAnsi="Calibri" w:cs="Calibri"/>
          <w:b/>
          <w:bCs/>
        </w:rPr>
        <w:t>l</w:t>
      </w:r>
      <w:r w:rsidR="00483C1B" w:rsidRPr="004A7417">
        <w:rPr>
          <w:rFonts w:ascii="Calibri" w:hAnsi="Calibri" w:cs="Calibri"/>
          <w:b/>
          <w:bCs/>
        </w:rPr>
        <w:t>a performance d’</w:t>
      </w:r>
      <w:r w:rsidR="00852A04" w:rsidRPr="004A7417">
        <w:rPr>
          <w:rFonts w:ascii="Calibri" w:hAnsi="Calibri" w:cs="Calibri"/>
          <w:b/>
          <w:bCs/>
        </w:rPr>
        <w:t xml:space="preserve">émission </w:t>
      </w:r>
      <w:r w:rsidR="00E277D0" w:rsidRPr="004A7417">
        <w:rPr>
          <w:rFonts w:ascii="Calibri" w:hAnsi="Calibri" w:cs="Calibri"/>
          <w:b/>
          <w:bCs/>
        </w:rPr>
        <w:t xml:space="preserve">de GES </w:t>
      </w:r>
      <w:r w:rsidR="00483C1B" w:rsidRPr="004A7417">
        <w:rPr>
          <w:rFonts w:ascii="Calibri" w:hAnsi="Calibri" w:cs="Calibri"/>
          <w:b/>
          <w:bCs/>
        </w:rPr>
        <w:t>de ses produits</w:t>
      </w:r>
    </w:p>
    <w:p w14:paraId="63409F4B" w14:textId="099BE60D" w:rsidR="0026573B" w:rsidRPr="004A7417" w:rsidRDefault="00BA1482" w:rsidP="00252E68">
      <w:pPr>
        <w:spacing w:after="0"/>
        <w:jc w:val="both"/>
        <w:rPr>
          <w:rFonts w:ascii="Calibri" w:hAnsi="Calibri" w:cs="Calibri"/>
          <w:b/>
          <w:bCs/>
        </w:rPr>
      </w:pPr>
      <w:r w:rsidRPr="004A7417">
        <w:rPr>
          <w:rFonts w:ascii="Calibri" w:hAnsi="Calibri" w:cs="Calibri"/>
          <w:b/>
          <w:bCs/>
        </w:rPr>
        <w:t>2</w:t>
      </w:r>
      <w:r w:rsidR="000819BB" w:rsidRPr="004A7417">
        <w:rPr>
          <w:rFonts w:ascii="Calibri" w:hAnsi="Calibri" w:cs="Calibri"/>
          <w:b/>
          <w:bCs/>
        </w:rPr>
        <w:t>-</w:t>
      </w:r>
      <w:r w:rsidR="000C4B35" w:rsidRPr="004A7417">
        <w:rPr>
          <w:rFonts w:ascii="Calibri" w:hAnsi="Calibri" w:cs="Calibri"/>
          <w:b/>
          <w:bCs/>
        </w:rPr>
        <w:t xml:space="preserve"> </w:t>
      </w:r>
      <w:r w:rsidR="00483C1B" w:rsidRPr="004A7417">
        <w:rPr>
          <w:rFonts w:ascii="Calibri" w:hAnsi="Calibri" w:cs="Calibri"/>
          <w:b/>
          <w:bCs/>
        </w:rPr>
        <w:t>s</w:t>
      </w:r>
      <w:r w:rsidR="000C4B35" w:rsidRPr="004A7417">
        <w:rPr>
          <w:rFonts w:ascii="Calibri" w:hAnsi="Calibri" w:cs="Calibri"/>
          <w:b/>
          <w:bCs/>
        </w:rPr>
        <w:t xml:space="preserve">a </w:t>
      </w:r>
      <w:r w:rsidR="00483C1B" w:rsidRPr="004A7417">
        <w:rPr>
          <w:rFonts w:ascii="Calibri" w:hAnsi="Calibri" w:cs="Calibri"/>
          <w:b/>
          <w:bCs/>
        </w:rPr>
        <w:t xml:space="preserve">performance de </w:t>
      </w:r>
      <w:r w:rsidR="000C4B35" w:rsidRPr="004A7417">
        <w:rPr>
          <w:rFonts w:ascii="Calibri" w:hAnsi="Calibri" w:cs="Calibri"/>
          <w:b/>
          <w:bCs/>
        </w:rPr>
        <w:t>décarbonation</w:t>
      </w:r>
    </w:p>
    <w:p w14:paraId="2658E581" w14:textId="7A2E7DD2" w:rsidR="00C74D55" w:rsidRPr="004A7417" w:rsidRDefault="00E43DBB" w:rsidP="00252E68">
      <w:pPr>
        <w:tabs>
          <w:tab w:val="left" w:pos="3428"/>
        </w:tabs>
        <w:jc w:val="both"/>
        <w:rPr>
          <w:rFonts w:ascii="Calibri" w:hAnsi="Calibri" w:cs="Calibri"/>
        </w:rPr>
      </w:pPr>
      <w:r w:rsidRPr="004A7417">
        <w:rPr>
          <w:rFonts w:ascii="Calibri" w:hAnsi="Calibri" w:cs="Calibri"/>
        </w:rPr>
        <w:tab/>
      </w:r>
    </w:p>
    <w:p w14:paraId="188BACE0" w14:textId="64751641" w:rsidR="0006349E" w:rsidRPr="004A7417" w:rsidRDefault="00BF421F" w:rsidP="00090C76">
      <w:pPr>
        <w:jc w:val="both"/>
        <w:rPr>
          <w:rFonts w:ascii="Calibri" w:hAnsi="Calibri" w:cs="Calibri"/>
        </w:rPr>
      </w:pPr>
      <w:r w:rsidRPr="004A7417">
        <w:rPr>
          <w:rFonts w:ascii="Calibri" w:hAnsi="Calibri" w:cs="Calibri"/>
          <w:b/>
          <w:bCs/>
        </w:rPr>
        <w:t xml:space="preserve">L’émission de GES </w:t>
      </w:r>
      <w:r w:rsidR="00D2533A" w:rsidRPr="004A7417">
        <w:rPr>
          <w:rFonts w:ascii="Calibri" w:hAnsi="Calibri" w:cs="Calibri"/>
        </w:rPr>
        <w:t xml:space="preserve">(ou émission) </w:t>
      </w:r>
      <w:r w:rsidRPr="004A7417">
        <w:rPr>
          <w:rFonts w:ascii="Calibri" w:hAnsi="Calibri" w:cs="Calibri"/>
          <w:b/>
          <w:bCs/>
        </w:rPr>
        <w:t>d’un produit</w:t>
      </w:r>
      <w:r w:rsidRPr="004A7417">
        <w:rPr>
          <w:rFonts w:ascii="Calibri" w:hAnsi="Calibri" w:cs="Calibri"/>
        </w:rPr>
        <w:t xml:space="preserve"> désigne le total des émissions </w:t>
      </w:r>
      <w:r w:rsidR="00090C76" w:rsidRPr="004A7417">
        <w:rPr>
          <w:rFonts w:ascii="Calibri" w:hAnsi="Calibri" w:cs="Calibri"/>
        </w:rPr>
        <w:t xml:space="preserve">de gaz à effet de serre </w:t>
      </w:r>
      <w:r w:rsidRPr="004A7417">
        <w:rPr>
          <w:rFonts w:ascii="Calibri" w:hAnsi="Calibri" w:cs="Calibri"/>
        </w:rPr>
        <w:t xml:space="preserve">vers l’atmosphère </w:t>
      </w:r>
      <w:r w:rsidR="00090C76" w:rsidRPr="004A7417">
        <w:rPr>
          <w:rFonts w:ascii="Calibri" w:hAnsi="Calibri" w:cs="Calibri"/>
        </w:rPr>
        <w:t xml:space="preserve">(nettes </w:t>
      </w:r>
      <w:r w:rsidRPr="004A7417">
        <w:rPr>
          <w:rFonts w:ascii="Calibri" w:hAnsi="Calibri" w:cs="Calibri"/>
        </w:rPr>
        <w:t>des captures</w:t>
      </w:r>
      <w:r w:rsidR="00090C76" w:rsidRPr="004A7417">
        <w:rPr>
          <w:rFonts w:ascii="Calibri" w:hAnsi="Calibri" w:cs="Calibri"/>
        </w:rPr>
        <w:t>)</w:t>
      </w:r>
      <w:r w:rsidRPr="004A7417">
        <w:rPr>
          <w:rFonts w:ascii="Calibri" w:hAnsi="Calibri" w:cs="Calibri"/>
        </w:rPr>
        <w:t xml:space="preserve"> que le produit a nécessité.</w:t>
      </w:r>
      <w:r w:rsidR="00090C76" w:rsidRPr="004A7417">
        <w:rPr>
          <w:rStyle w:val="lev"/>
          <w:rFonts w:ascii="Calibri" w:hAnsi="Calibri" w:cs="Calibri"/>
          <w:b w:val="0"/>
          <w:bCs w:val="0"/>
        </w:rPr>
        <w:t xml:space="preserve"> </w:t>
      </w:r>
      <w:r w:rsidRPr="004A7417">
        <w:rPr>
          <w:rFonts w:ascii="Calibri" w:hAnsi="Calibri" w:cs="Calibri"/>
        </w:rPr>
        <w:t>Elle est mesurée en kilos d’équivalent CO</w:t>
      </w:r>
      <w:r w:rsidRPr="004A7417">
        <w:rPr>
          <w:rFonts w:ascii="Calibri" w:hAnsi="Calibri" w:cs="Calibri"/>
          <w:vertAlign w:val="subscript"/>
        </w:rPr>
        <w:t xml:space="preserve">2 </w:t>
      </w:r>
      <w:r w:rsidRPr="004A7417">
        <w:rPr>
          <w:rFonts w:ascii="Calibri" w:hAnsi="Calibri" w:cs="Calibri"/>
        </w:rPr>
        <w:t>selon les principes des Nations Unies (GIEC et IPBES). Cette émission est la</w:t>
      </w:r>
      <w:r w:rsidR="0006349E" w:rsidRPr="004A7417">
        <w:rPr>
          <w:rFonts w:ascii="Calibri" w:hAnsi="Calibri" w:cs="Calibri"/>
        </w:rPr>
        <w:t xml:space="preserve"> 3</w:t>
      </w:r>
      <w:r w:rsidR="0006349E" w:rsidRPr="004A7417">
        <w:rPr>
          <w:rFonts w:ascii="Calibri" w:hAnsi="Calibri" w:cs="Calibri"/>
          <w:vertAlign w:val="superscript"/>
        </w:rPr>
        <w:t>e</w:t>
      </w:r>
      <w:r w:rsidR="0006349E" w:rsidRPr="004A7417">
        <w:rPr>
          <w:rFonts w:ascii="Calibri" w:hAnsi="Calibri" w:cs="Calibri"/>
        </w:rPr>
        <w:t xml:space="preserve"> dimension </w:t>
      </w:r>
      <w:r w:rsidRPr="004A7417">
        <w:rPr>
          <w:rFonts w:ascii="Calibri" w:hAnsi="Calibri" w:cs="Calibri"/>
        </w:rPr>
        <w:t>du produit</w:t>
      </w:r>
      <w:r w:rsidR="0006349E" w:rsidRPr="004A7417">
        <w:rPr>
          <w:rFonts w:ascii="Calibri" w:hAnsi="Calibri" w:cs="Calibri"/>
        </w:rPr>
        <w:t xml:space="preserve"> à côté de</w:t>
      </w:r>
      <w:r w:rsidR="00483C1B" w:rsidRPr="004A7417">
        <w:rPr>
          <w:rFonts w:ascii="Calibri" w:hAnsi="Calibri" w:cs="Calibri"/>
        </w:rPr>
        <w:t xml:space="preserve"> </w:t>
      </w:r>
      <w:r w:rsidR="0006349E" w:rsidRPr="004A7417">
        <w:rPr>
          <w:rFonts w:ascii="Calibri" w:hAnsi="Calibri" w:cs="Calibri"/>
        </w:rPr>
        <w:t>s</w:t>
      </w:r>
      <w:r w:rsidR="00483C1B" w:rsidRPr="004A7417">
        <w:rPr>
          <w:rFonts w:ascii="Calibri" w:hAnsi="Calibri" w:cs="Calibri"/>
        </w:rPr>
        <w:t>on</w:t>
      </w:r>
      <w:r w:rsidR="0006349E" w:rsidRPr="004A7417">
        <w:rPr>
          <w:rFonts w:ascii="Calibri" w:hAnsi="Calibri" w:cs="Calibri"/>
        </w:rPr>
        <w:t xml:space="preserve"> prix et de</w:t>
      </w:r>
      <w:r w:rsidR="00483C1B" w:rsidRPr="004A7417">
        <w:rPr>
          <w:rFonts w:ascii="Calibri" w:hAnsi="Calibri" w:cs="Calibri"/>
        </w:rPr>
        <w:t xml:space="preserve"> sa</w:t>
      </w:r>
      <w:r w:rsidR="0006349E" w:rsidRPr="004A7417">
        <w:rPr>
          <w:rFonts w:ascii="Calibri" w:hAnsi="Calibri" w:cs="Calibri"/>
        </w:rPr>
        <w:t xml:space="preserve"> quantité </w:t>
      </w:r>
      <w:r w:rsidRPr="004A7417">
        <w:rPr>
          <w:rFonts w:ascii="Calibri" w:hAnsi="Calibri" w:cs="Calibri"/>
        </w:rPr>
        <w:t>(d’où le nom de la méthode 3D)</w:t>
      </w:r>
      <w:r w:rsidR="0006349E" w:rsidRPr="004A7417">
        <w:rPr>
          <w:rFonts w:ascii="Calibri" w:hAnsi="Calibri" w:cs="Calibri"/>
        </w:rPr>
        <w:t>.</w:t>
      </w:r>
    </w:p>
    <w:p w14:paraId="3C04A070" w14:textId="485CCCC4" w:rsidR="0006349E" w:rsidRPr="004A7417" w:rsidRDefault="001F202A" w:rsidP="00252E68">
      <w:pPr>
        <w:spacing w:after="0"/>
        <w:jc w:val="both"/>
        <w:rPr>
          <w:rFonts w:ascii="Calibri" w:hAnsi="Calibri" w:cs="Calibri"/>
        </w:rPr>
      </w:pPr>
      <w:r w:rsidRPr="004A7417">
        <w:rPr>
          <w:rFonts w:ascii="Calibri" w:hAnsi="Calibri" w:cs="Calibri"/>
          <w:b/>
          <w:bCs/>
        </w:rPr>
        <w:t>Entreprise</w:t>
      </w:r>
      <w:r w:rsidRPr="004A7417">
        <w:rPr>
          <w:rFonts w:ascii="Calibri" w:hAnsi="Calibri" w:cs="Calibri"/>
        </w:rPr>
        <w:t xml:space="preserve"> désigne une entreprise ou un établissement financier.</w:t>
      </w:r>
    </w:p>
    <w:p w14:paraId="64F011DD" w14:textId="77777777" w:rsidR="0098515A" w:rsidRPr="004A7417" w:rsidRDefault="0098515A" w:rsidP="00252E68">
      <w:pPr>
        <w:jc w:val="both"/>
        <w:rPr>
          <w:rFonts w:ascii="Calibri" w:hAnsi="Calibri" w:cs="Calibri"/>
        </w:rPr>
      </w:pPr>
    </w:p>
    <w:p w14:paraId="61258CA1" w14:textId="6CC856B5" w:rsidR="000C4B35" w:rsidRPr="004A7417" w:rsidRDefault="000C4B35" w:rsidP="00252E68">
      <w:pPr>
        <w:jc w:val="both"/>
        <w:rPr>
          <w:rFonts w:ascii="Calibri" w:hAnsi="Calibri" w:cs="Calibri"/>
          <w:b/>
          <w:bCs/>
        </w:rPr>
      </w:pPr>
      <w:r w:rsidRPr="004A7417">
        <w:rPr>
          <w:rFonts w:ascii="Calibri" w:hAnsi="Calibri" w:cs="Calibri"/>
          <w:b/>
          <w:bCs/>
        </w:rPr>
        <w:t xml:space="preserve">Volet 1 – Les émissions </w:t>
      </w:r>
      <w:r w:rsidR="00495D4E" w:rsidRPr="004A7417">
        <w:rPr>
          <w:rFonts w:ascii="Calibri" w:hAnsi="Calibri" w:cs="Calibri"/>
          <w:b/>
          <w:bCs/>
        </w:rPr>
        <w:t xml:space="preserve">des produits </w:t>
      </w:r>
      <w:r w:rsidR="00BF421F" w:rsidRPr="004A7417">
        <w:rPr>
          <w:rFonts w:ascii="Calibri" w:hAnsi="Calibri" w:cs="Calibri"/>
          <w:b/>
          <w:bCs/>
        </w:rPr>
        <w:t>d’une entreprise</w:t>
      </w:r>
    </w:p>
    <w:p w14:paraId="5698E89F" w14:textId="6F0BAD68" w:rsidR="00E7539D" w:rsidRPr="004A7417" w:rsidRDefault="000C4B35" w:rsidP="00252E68">
      <w:pPr>
        <w:jc w:val="both"/>
        <w:rPr>
          <w:rFonts w:ascii="Calibri" w:hAnsi="Calibri" w:cs="Calibri"/>
        </w:rPr>
      </w:pPr>
      <w:r w:rsidRPr="004A7417">
        <w:rPr>
          <w:rFonts w:ascii="Calibri" w:hAnsi="Calibri" w:cs="Calibri"/>
        </w:rPr>
        <w:t xml:space="preserve">Le </w:t>
      </w:r>
      <w:r w:rsidRPr="004A7417">
        <w:rPr>
          <w:rFonts w:ascii="Calibri" w:hAnsi="Calibri" w:cs="Calibri"/>
          <w:b/>
          <w:bCs/>
        </w:rPr>
        <w:t>volet 1</w:t>
      </w:r>
      <w:r w:rsidRPr="004A7417">
        <w:rPr>
          <w:rFonts w:ascii="Calibri" w:hAnsi="Calibri" w:cs="Calibri"/>
        </w:rPr>
        <w:t xml:space="preserve"> </w:t>
      </w:r>
      <w:r w:rsidR="00B06BA0" w:rsidRPr="004A7417">
        <w:rPr>
          <w:rFonts w:ascii="Calibri" w:hAnsi="Calibri" w:cs="Calibri"/>
        </w:rPr>
        <w:t xml:space="preserve">vise à </w:t>
      </w:r>
      <w:r w:rsidR="00363980" w:rsidRPr="004A7417">
        <w:rPr>
          <w:rFonts w:ascii="Calibri" w:hAnsi="Calibri" w:cs="Calibri"/>
        </w:rPr>
        <w:t>donne</w:t>
      </w:r>
      <w:r w:rsidR="00B06BA0" w:rsidRPr="004A7417">
        <w:rPr>
          <w:rFonts w:ascii="Calibri" w:hAnsi="Calibri" w:cs="Calibri"/>
        </w:rPr>
        <w:t>r</w:t>
      </w:r>
      <w:r w:rsidR="00363980" w:rsidRPr="004A7417">
        <w:rPr>
          <w:rFonts w:ascii="Calibri" w:hAnsi="Calibri" w:cs="Calibri"/>
        </w:rPr>
        <w:t xml:space="preserve"> à l'entreprise </w:t>
      </w:r>
      <w:r w:rsidR="00495D4E" w:rsidRPr="004A7417">
        <w:rPr>
          <w:rFonts w:ascii="Calibri" w:hAnsi="Calibri" w:cs="Calibri"/>
        </w:rPr>
        <w:t>des mesures robustes et exhaustives des émissions de ses produits, alimentées par les émissions de ses fournisseurs et transmises ensuite à ses clients.</w:t>
      </w:r>
      <w:bookmarkEnd w:id="0"/>
    </w:p>
    <w:p w14:paraId="215D715C" w14:textId="50B0F7FD" w:rsidR="00C72C1A" w:rsidRPr="004A7417" w:rsidRDefault="00495D4E" w:rsidP="00252E68">
      <w:pPr>
        <w:pStyle w:val="Paragraphedeliste"/>
        <w:numPr>
          <w:ilvl w:val="0"/>
          <w:numId w:val="9"/>
        </w:numPr>
        <w:spacing w:after="0"/>
        <w:jc w:val="both"/>
        <w:rPr>
          <w:rStyle w:val="lev"/>
          <w:rFonts w:ascii="Calibri" w:eastAsiaTheme="majorEastAsia" w:hAnsi="Calibri" w:cs="Calibri"/>
        </w:rPr>
      </w:pPr>
      <w:r w:rsidRPr="004A7417">
        <w:rPr>
          <w:rStyle w:val="lev"/>
          <w:rFonts w:ascii="Calibri" w:eastAsiaTheme="majorEastAsia" w:hAnsi="Calibri" w:cs="Calibri"/>
          <w:b w:val="0"/>
          <w:bCs w:val="0"/>
        </w:rPr>
        <w:t>L’</w:t>
      </w:r>
      <w:r w:rsidR="00606CFD" w:rsidRPr="004A7417">
        <w:rPr>
          <w:rStyle w:val="lev"/>
          <w:rFonts w:ascii="Calibri" w:eastAsiaTheme="majorEastAsia" w:hAnsi="Calibri" w:cs="Calibri"/>
          <w:b w:val="0"/>
          <w:bCs w:val="0"/>
        </w:rPr>
        <w:t>ent</w:t>
      </w:r>
      <w:r w:rsidR="0042240B" w:rsidRPr="004A7417">
        <w:rPr>
          <w:rStyle w:val="lev"/>
          <w:rFonts w:ascii="Calibri" w:eastAsiaTheme="majorEastAsia" w:hAnsi="Calibri" w:cs="Calibri"/>
          <w:b w:val="0"/>
          <w:bCs w:val="0"/>
        </w:rPr>
        <w:t>reprise</w:t>
      </w:r>
      <w:r w:rsidR="002D0111" w:rsidRPr="004A7417">
        <w:rPr>
          <w:rStyle w:val="lev"/>
          <w:rFonts w:ascii="Calibri" w:eastAsiaTheme="majorEastAsia" w:hAnsi="Calibri" w:cs="Calibri"/>
          <w:b w:val="0"/>
          <w:bCs w:val="0"/>
        </w:rPr>
        <w:t xml:space="preserve"> </w:t>
      </w:r>
      <w:r w:rsidR="00B50EEB" w:rsidRPr="004A7417">
        <w:rPr>
          <w:rStyle w:val="lev"/>
          <w:rFonts w:ascii="Calibri" w:eastAsiaTheme="majorEastAsia" w:hAnsi="Calibri" w:cs="Calibri"/>
          <w:b w:val="0"/>
          <w:bCs w:val="0"/>
        </w:rPr>
        <w:t>établit</w:t>
      </w:r>
      <w:r w:rsidR="00651CCD" w:rsidRPr="004A7417">
        <w:rPr>
          <w:rStyle w:val="lev"/>
          <w:rFonts w:ascii="Calibri" w:eastAsiaTheme="majorEastAsia" w:hAnsi="Calibri" w:cs="Calibri"/>
          <w:b w:val="0"/>
          <w:bCs w:val="0"/>
        </w:rPr>
        <w:t xml:space="preserve"> </w:t>
      </w:r>
      <w:r w:rsidR="00927D60" w:rsidRPr="004A7417">
        <w:rPr>
          <w:rStyle w:val="lev"/>
          <w:rFonts w:ascii="Calibri" w:eastAsiaTheme="majorEastAsia" w:hAnsi="Calibri" w:cs="Calibri"/>
          <w:b w:val="0"/>
          <w:bCs w:val="0"/>
        </w:rPr>
        <w:t xml:space="preserve">à chaque clôture </w:t>
      </w:r>
      <w:r w:rsidR="007B513E" w:rsidRPr="004A7417">
        <w:rPr>
          <w:rStyle w:val="lev"/>
          <w:rFonts w:ascii="Calibri" w:eastAsiaTheme="majorEastAsia" w:hAnsi="Calibri" w:cs="Calibri"/>
          <w:b w:val="0"/>
          <w:bCs w:val="0"/>
        </w:rPr>
        <w:t>comptable</w:t>
      </w:r>
      <w:r w:rsidR="00E06108" w:rsidRPr="004A7417">
        <w:rPr>
          <w:rStyle w:val="lev"/>
          <w:rFonts w:ascii="Calibri" w:eastAsiaTheme="majorEastAsia" w:hAnsi="Calibri" w:cs="Calibri"/>
          <w:b w:val="0"/>
          <w:bCs w:val="0"/>
        </w:rPr>
        <w:t xml:space="preserve"> annuelle</w:t>
      </w:r>
      <w:r w:rsidR="007B513E" w:rsidRPr="004A7417">
        <w:rPr>
          <w:rStyle w:val="lev"/>
          <w:rFonts w:ascii="Calibri" w:eastAsiaTheme="majorEastAsia" w:hAnsi="Calibri" w:cs="Calibri"/>
          <w:b w:val="0"/>
          <w:bCs w:val="0"/>
        </w:rPr>
        <w:t xml:space="preserve"> </w:t>
      </w:r>
      <w:r w:rsidR="00651CCD" w:rsidRPr="004A7417">
        <w:rPr>
          <w:rStyle w:val="lev"/>
          <w:rFonts w:ascii="Calibri" w:eastAsiaTheme="majorEastAsia" w:hAnsi="Calibri" w:cs="Calibri"/>
        </w:rPr>
        <w:t>un</w:t>
      </w:r>
      <w:r w:rsidR="00D777D5" w:rsidRPr="004A7417">
        <w:rPr>
          <w:rStyle w:val="lev"/>
          <w:rFonts w:ascii="Calibri" w:eastAsiaTheme="majorEastAsia" w:hAnsi="Calibri" w:cs="Calibri"/>
        </w:rPr>
        <w:t>e</w:t>
      </w:r>
      <w:r w:rsidR="00651CCD" w:rsidRPr="004A7417">
        <w:rPr>
          <w:rStyle w:val="lev"/>
          <w:rFonts w:ascii="Calibri" w:eastAsiaTheme="majorEastAsia" w:hAnsi="Calibri" w:cs="Calibri"/>
        </w:rPr>
        <w:t xml:space="preserve"> </w:t>
      </w:r>
      <w:r w:rsidR="00D777D5" w:rsidRPr="004A7417">
        <w:rPr>
          <w:rStyle w:val="lev"/>
          <w:rFonts w:ascii="Calibri" w:eastAsiaTheme="majorEastAsia" w:hAnsi="Calibri" w:cs="Calibri"/>
        </w:rPr>
        <w:t>balanc</w:t>
      </w:r>
      <w:r w:rsidR="00F55D13" w:rsidRPr="004A7417">
        <w:rPr>
          <w:rStyle w:val="lev"/>
          <w:rFonts w:ascii="Calibri" w:eastAsiaTheme="majorEastAsia" w:hAnsi="Calibri" w:cs="Calibri"/>
        </w:rPr>
        <w:t>e</w:t>
      </w:r>
      <w:r w:rsidR="00793B7B" w:rsidRPr="004A7417">
        <w:rPr>
          <w:rStyle w:val="lev"/>
          <w:rFonts w:ascii="Calibri" w:eastAsiaTheme="majorEastAsia" w:hAnsi="Calibri" w:cs="Calibri"/>
        </w:rPr>
        <w:t xml:space="preserve"> </w:t>
      </w:r>
      <w:r w:rsidR="004E429F" w:rsidRPr="004A7417">
        <w:rPr>
          <w:rStyle w:val="lev"/>
          <w:rFonts w:ascii="Calibri" w:eastAsiaTheme="majorEastAsia" w:hAnsi="Calibri" w:cs="Calibri"/>
        </w:rPr>
        <w:t>d</w:t>
      </w:r>
      <w:r w:rsidR="00927D60" w:rsidRPr="004A7417">
        <w:rPr>
          <w:rStyle w:val="lev"/>
          <w:rFonts w:ascii="Calibri" w:eastAsiaTheme="majorEastAsia" w:hAnsi="Calibri" w:cs="Calibri"/>
        </w:rPr>
        <w:t xml:space="preserve">e ses </w:t>
      </w:r>
      <w:r w:rsidR="004E429F" w:rsidRPr="004A7417">
        <w:rPr>
          <w:rStyle w:val="lev"/>
          <w:rFonts w:ascii="Calibri" w:eastAsiaTheme="majorEastAsia" w:hAnsi="Calibri" w:cs="Calibri"/>
        </w:rPr>
        <w:t>émissions</w:t>
      </w:r>
      <w:r w:rsidR="004E429F" w:rsidRPr="004A7417">
        <w:rPr>
          <w:rStyle w:val="lev"/>
          <w:rFonts w:ascii="Calibri" w:eastAsiaTheme="majorEastAsia" w:hAnsi="Calibri" w:cs="Calibri"/>
          <w:b w:val="0"/>
          <w:bCs w:val="0"/>
        </w:rPr>
        <w:t xml:space="preserve"> </w:t>
      </w:r>
      <w:r w:rsidR="00927D60" w:rsidRPr="004A7417">
        <w:rPr>
          <w:rStyle w:val="lev"/>
          <w:rFonts w:ascii="Calibri" w:eastAsiaTheme="majorEastAsia" w:hAnsi="Calibri" w:cs="Calibri"/>
          <w:b w:val="0"/>
          <w:bCs w:val="0"/>
        </w:rPr>
        <w:t xml:space="preserve">permettant de contrôler </w:t>
      </w:r>
      <w:r w:rsidRPr="004A7417">
        <w:rPr>
          <w:rStyle w:val="lev"/>
          <w:rFonts w:ascii="Calibri" w:eastAsiaTheme="majorEastAsia" w:hAnsi="Calibri" w:cs="Calibri"/>
          <w:b w:val="0"/>
          <w:bCs w:val="0"/>
        </w:rPr>
        <w:t xml:space="preserve">que toutes </w:t>
      </w:r>
      <w:r w:rsidR="00927D60" w:rsidRPr="004A7417">
        <w:rPr>
          <w:rStyle w:val="lev"/>
          <w:rFonts w:ascii="Calibri" w:eastAsiaTheme="majorEastAsia" w:hAnsi="Calibri" w:cs="Calibri"/>
          <w:b w:val="0"/>
          <w:bCs w:val="0"/>
        </w:rPr>
        <w:t xml:space="preserve">les émissions </w:t>
      </w:r>
      <w:r w:rsidR="00EB4C38" w:rsidRPr="004A7417">
        <w:rPr>
          <w:rStyle w:val="lev"/>
          <w:rFonts w:ascii="Calibri" w:eastAsiaTheme="majorEastAsia" w:hAnsi="Calibri" w:cs="Calibri"/>
          <w:b w:val="0"/>
          <w:bCs w:val="0"/>
        </w:rPr>
        <w:t xml:space="preserve">nécessaires à </w:t>
      </w:r>
      <w:r w:rsidRPr="004A7417">
        <w:rPr>
          <w:rStyle w:val="lev"/>
          <w:rFonts w:ascii="Calibri" w:eastAsiaTheme="majorEastAsia" w:hAnsi="Calibri" w:cs="Calibri"/>
          <w:b w:val="0"/>
          <w:bCs w:val="0"/>
        </w:rPr>
        <w:t>l</w:t>
      </w:r>
      <w:r w:rsidR="00EB4C38" w:rsidRPr="004A7417">
        <w:rPr>
          <w:rStyle w:val="lev"/>
          <w:rFonts w:ascii="Calibri" w:eastAsiaTheme="majorEastAsia" w:hAnsi="Calibri" w:cs="Calibri"/>
          <w:b w:val="0"/>
          <w:bCs w:val="0"/>
        </w:rPr>
        <w:t xml:space="preserve">a production </w:t>
      </w:r>
      <w:r w:rsidRPr="004A7417">
        <w:rPr>
          <w:rStyle w:val="lev"/>
          <w:rFonts w:ascii="Calibri" w:eastAsiaTheme="majorEastAsia" w:hAnsi="Calibri" w:cs="Calibri"/>
          <w:b w:val="0"/>
          <w:bCs w:val="0"/>
        </w:rPr>
        <w:t xml:space="preserve">ont </w:t>
      </w:r>
      <w:r w:rsidR="00D2533A" w:rsidRPr="004A7417">
        <w:rPr>
          <w:rStyle w:val="lev"/>
          <w:rFonts w:ascii="Calibri" w:eastAsiaTheme="majorEastAsia" w:hAnsi="Calibri" w:cs="Calibri"/>
          <w:b w:val="0"/>
          <w:bCs w:val="0"/>
        </w:rPr>
        <w:t xml:space="preserve">été </w:t>
      </w:r>
      <w:r w:rsidR="00EB4C38" w:rsidRPr="004A7417">
        <w:rPr>
          <w:rStyle w:val="lev"/>
          <w:rFonts w:ascii="Calibri" w:eastAsiaTheme="majorEastAsia" w:hAnsi="Calibri" w:cs="Calibri"/>
          <w:b w:val="0"/>
          <w:bCs w:val="0"/>
        </w:rPr>
        <w:t xml:space="preserve">transmises </w:t>
      </w:r>
      <w:r w:rsidRPr="004A7417">
        <w:rPr>
          <w:rStyle w:val="lev"/>
          <w:rFonts w:ascii="Calibri" w:eastAsiaTheme="majorEastAsia" w:hAnsi="Calibri" w:cs="Calibri"/>
          <w:b w:val="0"/>
          <w:bCs w:val="0"/>
        </w:rPr>
        <w:t>aux</w:t>
      </w:r>
      <w:r w:rsidR="00EB4C38" w:rsidRPr="004A7417">
        <w:rPr>
          <w:rStyle w:val="lev"/>
          <w:rFonts w:ascii="Calibri" w:eastAsiaTheme="majorEastAsia" w:hAnsi="Calibri" w:cs="Calibri"/>
          <w:b w:val="0"/>
          <w:bCs w:val="0"/>
        </w:rPr>
        <w:t xml:space="preserve"> clients</w:t>
      </w:r>
      <w:r w:rsidR="007B513E" w:rsidRPr="004A7417">
        <w:rPr>
          <w:rStyle w:val="lev"/>
          <w:rFonts w:ascii="Calibri" w:eastAsiaTheme="majorEastAsia" w:hAnsi="Calibri" w:cs="Calibri"/>
          <w:b w:val="0"/>
          <w:bCs w:val="0"/>
        </w:rPr>
        <w:t xml:space="preserve">. </w:t>
      </w:r>
      <w:r w:rsidR="00A52A2F" w:rsidRPr="004A7417">
        <w:rPr>
          <w:rStyle w:val="lev"/>
          <w:rFonts w:ascii="Calibri" w:eastAsiaTheme="majorEastAsia" w:hAnsi="Calibri" w:cs="Calibri"/>
          <w:b w:val="0"/>
          <w:bCs w:val="0"/>
        </w:rPr>
        <w:t>Dans c</w:t>
      </w:r>
      <w:r w:rsidR="000B7012" w:rsidRPr="004A7417">
        <w:rPr>
          <w:rStyle w:val="lev"/>
          <w:rFonts w:ascii="Calibri" w:eastAsiaTheme="majorEastAsia" w:hAnsi="Calibri" w:cs="Calibri"/>
          <w:b w:val="0"/>
          <w:bCs w:val="0"/>
        </w:rPr>
        <w:t>ett</w:t>
      </w:r>
      <w:r w:rsidR="00A52A2F" w:rsidRPr="004A7417">
        <w:rPr>
          <w:rStyle w:val="lev"/>
          <w:rFonts w:ascii="Calibri" w:eastAsiaTheme="majorEastAsia" w:hAnsi="Calibri" w:cs="Calibri"/>
          <w:b w:val="0"/>
          <w:bCs w:val="0"/>
        </w:rPr>
        <w:t xml:space="preserve">e </w:t>
      </w:r>
      <w:r w:rsidR="000B7012" w:rsidRPr="004A7417">
        <w:rPr>
          <w:rStyle w:val="lev"/>
          <w:rFonts w:ascii="Calibri" w:eastAsiaTheme="majorEastAsia" w:hAnsi="Calibri" w:cs="Calibri"/>
          <w:b w:val="0"/>
          <w:bCs w:val="0"/>
        </w:rPr>
        <w:t xml:space="preserve">balance </w:t>
      </w:r>
      <w:r w:rsidR="00A52A2F" w:rsidRPr="004A7417">
        <w:rPr>
          <w:rStyle w:val="lev"/>
          <w:rFonts w:ascii="Calibri" w:eastAsiaTheme="majorEastAsia" w:hAnsi="Calibri" w:cs="Calibri"/>
          <w:b w:val="0"/>
          <w:bCs w:val="0"/>
        </w:rPr>
        <w:t>figure</w:t>
      </w:r>
      <w:r w:rsidR="00137C74" w:rsidRPr="004A7417">
        <w:rPr>
          <w:rStyle w:val="lev"/>
          <w:rFonts w:ascii="Calibri" w:eastAsiaTheme="majorEastAsia" w:hAnsi="Calibri" w:cs="Calibri"/>
          <w:b w:val="0"/>
          <w:bCs w:val="0"/>
        </w:rPr>
        <w:t xml:space="preserve">nt : le </w:t>
      </w:r>
      <w:r w:rsidR="00E06108" w:rsidRPr="004A7417">
        <w:rPr>
          <w:rStyle w:val="lev"/>
          <w:rFonts w:ascii="Calibri" w:eastAsiaTheme="majorEastAsia" w:hAnsi="Calibri" w:cs="Calibri"/>
          <w:b w:val="0"/>
          <w:bCs w:val="0"/>
        </w:rPr>
        <w:t>solde de la balance précédente</w:t>
      </w:r>
      <w:r w:rsidR="002D0111" w:rsidRPr="004A7417">
        <w:rPr>
          <w:rFonts w:ascii="Calibri" w:eastAsiaTheme="majorEastAsia" w:hAnsi="Calibri" w:cs="Calibri"/>
        </w:rPr>
        <w:t xml:space="preserve">, </w:t>
      </w:r>
      <w:r w:rsidR="002468C1" w:rsidRPr="004A7417">
        <w:rPr>
          <w:rFonts w:ascii="Calibri" w:eastAsiaTheme="majorEastAsia" w:hAnsi="Calibri" w:cs="Calibri"/>
        </w:rPr>
        <w:t xml:space="preserve">en positif </w:t>
      </w:r>
      <w:r w:rsidR="00137C74" w:rsidRPr="004A7417">
        <w:rPr>
          <w:rFonts w:ascii="Calibri" w:eastAsiaTheme="majorEastAsia" w:hAnsi="Calibri" w:cs="Calibri"/>
        </w:rPr>
        <w:t xml:space="preserve">les émissions </w:t>
      </w:r>
      <w:r w:rsidR="0041577C" w:rsidRPr="004A7417">
        <w:rPr>
          <w:rFonts w:ascii="Calibri" w:eastAsiaTheme="majorEastAsia" w:hAnsi="Calibri" w:cs="Calibri"/>
        </w:rPr>
        <w:t>ajoutées par l</w:t>
      </w:r>
      <w:r w:rsidR="00606CFD" w:rsidRPr="004A7417">
        <w:rPr>
          <w:rFonts w:ascii="Calibri" w:eastAsiaTheme="majorEastAsia" w:hAnsi="Calibri" w:cs="Calibri"/>
        </w:rPr>
        <w:t xml:space="preserve">es </w:t>
      </w:r>
      <w:r w:rsidRPr="004A7417">
        <w:rPr>
          <w:rFonts w:ascii="Calibri" w:eastAsiaTheme="majorEastAsia" w:hAnsi="Calibri" w:cs="Calibri"/>
        </w:rPr>
        <w:t>processus internes de l’entreprise</w:t>
      </w:r>
      <w:r w:rsidR="0041577C" w:rsidRPr="004A7417">
        <w:rPr>
          <w:rStyle w:val="Appelnotedebasdep"/>
          <w:rFonts w:ascii="Calibri" w:eastAsia="Arial" w:hAnsi="Calibri" w:cs="Calibri"/>
        </w:rPr>
        <w:footnoteReference w:id="1"/>
      </w:r>
      <w:r w:rsidR="0041577C" w:rsidRPr="004A7417">
        <w:rPr>
          <w:rFonts w:ascii="Calibri" w:eastAsiaTheme="majorEastAsia" w:hAnsi="Calibri" w:cs="Calibri"/>
        </w:rPr>
        <w:t xml:space="preserve"> </w:t>
      </w:r>
      <w:r w:rsidRPr="004A7417">
        <w:rPr>
          <w:rFonts w:ascii="Calibri" w:eastAsiaTheme="majorEastAsia" w:hAnsi="Calibri" w:cs="Calibri"/>
        </w:rPr>
        <w:t xml:space="preserve"> et </w:t>
      </w:r>
      <w:r w:rsidR="0041577C" w:rsidRPr="004A7417">
        <w:rPr>
          <w:rFonts w:ascii="Calibri" w:eastAsiaTheme="majorEastAsia" w:hAnsi="Calibri" w:cs="Calibri"/>
        </w:rPr>
        <w:t xml:space="preserve">celles </w:t>
      </w:r>
      <w:r w:rsidRPr="004A7417">
        <w:rPr>
          <w:rFonts w:ascii="Calibri" w:eastAsiaTheme="majorEastAsia" w:hAnsi="Calibri" w:cs="Calibri"/>
        </w:rPr>
        <w:t xml:space="preserve">de ses </w:t>
      </w:r>
      <w:r w:rsidR="00606CFD" w:rsidRPr="004A7417">
        <w:rPr>
          <w:rFonts w:ascii="Calibri" w:eastAsiaTheme="majorEastAsia" w:hAnsi="Calibri" w:cs="Calibri"/>
        </w:rPr>
        <w:t>achats</w:t>
      </w:r>
      <w:r w:rsidR="00711FD0" w:rsidRPr="004A7417">
        <w:rPr>
          <w:rStyle w:val="Appelnotedebasdep"/>
          <w:rFonts w:ascii="Calibri" w:eastAsia="Arial" w:hAnsi="Calibri" w:cs="Calibri"/>
        </w:rPr>
        <w:footnoteReference w:id="2"/>
      </w:r>
      <w:r w:rsidR="00137C74" w:rsidRPr="004A7417">
        <w:rPr>
          <w:rFonts w:ascii="Calibri" w:eastAsiaTheme="majorEastAsia" w:hAnsi="Calibri" w:cs="Calibri"/>
        </w:rPr>
        <w:t>,</w:t>
      </w:r>
      <w:r w:rsidR="00D104E7" w:rsidRPr="004A7417">
        <w:rPr>
          <w:rFonts w:ascii="Calibri" w:eastAsiaTheme="majorEastAsia" w:hAnsi="Calibri" w:cs="Calibri"/>
        </w:rPr>
        <w:t xml:space="preserve"> </w:t>
      </w:r>
      <w:r w:rsidR="002468C1" w:rsidRPr="004A7417">
        <w:rPr>
          <w:rFonts w:ascii="Calibri" w:eastAsiaTheme="majorEastAsia" w:hAnsi="Calibri" w:cs="Calibri"/>
        </w:rPr>
        <w:t xml:space="preserve">en négatif </w:t>
      </w:r>
      <w:r w:rsidR="00D104E7" w:rsidRPr="004A7417">
        <w:rPr>
          <w:rFonts w:ascii="Calibri" w:eastAsiaTheme="majorEastAsia" w:hAnsi="Calibri" w:cs="Calibri"/>
        </w:rPr>
        <w:t>l</w:t>
      </w:r>
      <w:r w:rsidR="007F387D" w:rsidRPr="004A7417">
        <w:rPr>
          <w:rFonts w:ascii="Calibri" w:eastAsiaTheme="majorEastAsia" w:hAnsi="Calibri" w:cs="Calibri"/>
        </w:rPr>
        <w:t xml:space="preserve">es </w:t>
      </w:r>
      <w:r w:rsidR="00580FA7" w:rsidRPr="004A7417">
        <w:rPr>
          <w:rFonts w:ascii="Calibri" w:eastAsiaTheme="majorEastAsia" w:hAnsi="Calibri" w:cs="Calibri"/>
        </w:rPr>
        <w:t xml:space="preserve">émissions </w:t>
      </w:r>
      <w:r w:rsidR="0053637B" w:rsidRPr="004A7417">
        <w:rPr>
          <w:rFonts w:ascii="Calibri" w:eastAsiaTheme="majorEastAsia" w:hAnsi="Calibri" w:cs="Calibri"/>
        </w:rPr>
        <w:t xml:space="preserve">transmises avec </w:t>
      </w:r>
      <w:r w:rsidR="00BA4EF2" w:rsidRPr="004A7417">
        <w:rPr>
          <w:rFonts w:ascii="Calibri" w:eastAsiaTheme="majorEastAsia" w:hAnsi="Calibri" w:cs="Calibri"/>
        </w:rPr>
        <w:t>l</w:t>
      </w:r>
      <w:r w:rsidR="00580FA7" w:rsidRPr="004A7417">
        <w:rPr>
          <w:rFonts w:ascii="Calibri" w:eastAsiaTheme="majorEastAsia" w:hAnsi="Calibri" w:cs="Calibri"/>
        </w:rPr>
        <w:t>es vent</w:t>
      </w:r>
      <w:r w:rsidR="00D104E7" w:rsidRPr="004A7417">
        <w:rPr>
          <w:rFonts w:ascii="Calibri" w:eastAsiaTheme="majorEastAsia" w:hAnsi="Calibri" w:cs="Calibri"/>
        </w:rPr>
        <w:t>es</w:t>
      </w:r>
      <w:r w:rsidR="006135E5" w:rsidRPr="004A7417">
        <w:rPr>
          <w:rFonts w:ascii="Calibri" w:eastAsiaTheme="majorEastAsia" w:hAnsi="Calibri" w:cs="Calibri"/>
        </w:rPr>
        <w:t xml:space="preserve"> </w:t>
      </w:r>
      <w:r w:rsidR="00D104E7" w:rsidRPr="004A7417">
        <w:rPr>
          <w:rFonts w:ascii="Calibri" w:eastAsiaTheme="majorEastAsia" w:hAnsi="Calibri" w:cs="Calibri"/>
        </w:rPr>
        <w:t xml:space="preserve">et </w:t>
      </w:r>
      <w:r w:rsidR="006135E5" w:rsidRPr="004A7417">
        <w:rPr>
          <w:rFonts w:ascii="Calibri" w:eastAsiaTheme="majorEastAsia" w:hAnsi="Calibri" w:cs="Calibri"/>
        </w:rPr>
        <w:t>l</w:t>
      </w:r>
      <w:r w:rsidR="00F36256" w:rsidRPr="004A7417">
        <w:rPr>
          <w:rFonts w:ascii="Calibri" w:eastAsiaTheme="majorEastAsia" w:hAnsi="Calibri" w:cs="Calibri"/>
        </w:rPr>
        <w:t>e sold</w:t>
      </w:r>
      <w:r w:rsidR="00176B4A" w:rsidRPr="004A7417">
        <w:rPr>
          <w:rFonts w:ascii="Calibri" w:eastAsiaTheme="majorEastAsia" w:hAnsi="Calibri" w:cs="Calibri"/>
        </w:rPr>
        <w:t>e</w:t>
      </w:r>
      <w:r w:rsidR="0008065E" w:rsidRPr="004A7417">
        <w:rPr>
          <w:rFonts w:ascii="Calibri" w:eastAsiaTheme="majorEastAsia" w:hAnsi="Calibri" w:cs="Calibri"/>
        </w:rPr>
        <w:t xml:space="preserve"> </w:t>
      </w:r>
      <w:r w:rsidR="006135E5" w:rsidRPr="004A7417">
        <w:rPr>
          <w:rFonts w:ascii="Calibri" w:eastAsiaTheme="majorEastAsia" w:hAnsi="Calibri" w:cs="Calibri"/>
        </w:rPr>
        <w:t>de l’</w:t>
      </w:r>
      <w:r w:rsidR="00D104E7" w:rsidRPr="004A7417">
        <w:rPr>
          <w:rFonts w:ascii="Calibri" w:eastAsiaTheme="majorEastAsia" w:hAnsi="Calibri" w:cs="Calibri"/>
        </w:rPr>
        <w:t>anné</w:t>
      </w:r>
      <w:r w:rsidR="006135E5" w:rsidRPr="004A7417">
        <w:rPr>
          <w:rFonts w:ascii="Calibri" w:eastAsiaTheme="majorEastAsia" w:hAnsi="Calibri" w:cs="Calibri"/>
        </w:rPr>
        <w:t>e</w:t>
      </w:r>
      <w:r w:rsidR="00606CFD" w:rsidRPr="004A7417">
        <w:rPr>
          <w:rFonts w:ascii="Calibri" w:eastAsiaTheme="majorEastAsia" w:hAnsi="Calibri" w:cs="Calibri"/>
        </w:rPr>
        <w:t>.</w:t>
      </w:r>
      <w:r w:rsidR="007E4730" w:rsidRPr="004A7417">
        <w:rPr>
          <w:rFonts w:ascii="Calibri" w:eastAsiaTheme="majorEastAsia" w:hAnsi="Calibri" w:cs="Calibri"/>
        </w:rPr>
        <w:t xml:space="preserve"> Les opérations </w:t>
      </w:r>
      <w:r w:rsidR="000301F3" w:rsidRPr="004A7417">
        <w:rPr>
          <w:rFonts w:ascii="Calibri" w:eastAsiaTheme="majorEastAsia" w:hAnsi="Calibri" w:cs="Calibri"/>
        </w:rPr>
        <w:t xml:space="preserve">prises en compte </w:t>
      </w:r>
      <w:r w:rsidR="007E4730" w:rsidRPr="004A7417">
        <w:rPr>
          <w:rFonts w:ascii="Calibri" w:eastAsiaTheme="majorEastAsia" w:hAnsi="Calibri" w:cs="Calibri"/>
        </w:rPr>
        <w:t xml:space="preserve">sont </w:t>
      </w:r>
      <w:r w:rsidR="002D1364" w:rsidRPr="004A7417">
        <w:rPr>
          <w:rFonts w:ascii="Calibri" w:eastAsiaTheme="majorEastAsia" w:hAnsi="Calibri" w:cs="Calibri"/>
        </w:rPr>
        <w:t xml:space="preserve">toutes </w:t>
      </w:r>
      <w:r w:rsidR="007E4730" w:rsidRPr="004A7417">
        <w:rPr>
          <w:rFonts w:ascii="Calibri" w:eastAsiaTheme="majorEastAsia" w:hAnsi="Calibri" w:cs="Calibri"/>
        </w:rPr>
        <w:t xml:space="preserve">celles </w:t>
      </w:r>
      <w:r w:rsidR="004463C4" w:rsidRPr="004A7417">
        <w:rPr>
          <w:rFonts w:ascii="Calibri" w:eastAsiaTheme="majorEastAsia" w:hAnsi="Calibri" w:cs="Calibri"/>
        </w:rPr>
        <w:t xml:space="preserve">imputées à l’exercice </w:t>
      </w:r>
      <w:r w:rsidR="00386FAC" w:rsidRPr="004A7417">
        <w:rPr>
          <w:rFonts w:ascii="Calibri" w:eastAsiaTheme="majorEastAsia" w:hAnsi="Calibri" w:cs="Calibri"/>
        </w:rPr>
        <w:t xml:space="preserve">au titre du </w:t>
      </w:r>
      <w:r w:rsidR="007E4730" w:rsidRPr="004A7417">
        <w:rPr>
          <w:rFonts w:ascii="Calibri" w:eastAsiaTheme="majorEastAsia" w:hAnsi="Calibri" w:cs="Calibri"/>
        </w:rPr>
        <w:t>compte de p</w:t>
      </w:r>
      <w:r w:rsidR="001264E4" w:rsidRPr="004A7417">
        <w:rPr>
          <w:rFonts w:ascii="Calibri" w:eastAsiaTheme="majorEastAsia" w:hAnsi="Calibri" w:cs="Calibri"/>
        </w:rPr>
        <w:t>roduits et charges</w:t>
      </w:r>
      <w:r w:rsidR="00386FAC" w:rsidRPr="004A7417">
        <w:rPr>
          <w:rFonts w:ascii="Calibri" w:eastAsiaTheme="majorEastAsia" w:hAnsi="Calibri" w:cs="Calibri"/>
        </w:rPr>
        <w:t xml:space="preserve"> de l</w:t>
      </w:r>
      <w:r w:rsidR="0007732C" w:rsidRPr="004A7417">
        <w:rPr>
          <w:rFonts w:ascii="Calibri" w:eastAsiaTheme="majorEastAsia" w:hAnsi="Calibri" w:cs="Calibri"/>
        </w:rPr>
        <w:t>’entreprise</w:t>
      </w:r>
      <w:r w:rsidR="001264E4" w:rsidRPr="004A7417">
        <w:rPr>
          <w:rFonts w:ascii="Calibri" w:eastAsiaTheme="majorEastAsia" w:hAnsi="Calibri" w:cs="Calibri"/>
        </w:rPr>
        <w:t>.</w:t>
      </w:r>
      <w:r w:rsidR="00242C0F" w:rsidRPr="004A7417">
        <w:rPr>
          <w:rFonts w:ascii="Calibri" w:eastAsiaTheme="majorEastAsia" w:hAnsi="Calibri" w:cs="Calibri"/>
        </w:rPr>
        <w:t xml:space="preserve"> </w:t>
      </w:r>
      <w:r w:rsidR="00C72C1A" w:rsidRPr="004A7417">
        <w:rPr>
          <w:rFonts w:ascii="Calibri" w:eastAsiaTheme="majorEastAsia" w:hAnsi="Calibri" w:cs="Calibri"/>
        </w:rPr>
        <w:t>Si l’entreprise suit séparément les coûts d</w:t>
      </w:r>
      <w:r w:rsidR="00090C76" w:rsidRPr="004A7417">
        <w:rPr>
          <w:rFonts w:ascii="Calibri" w:eastAsiaTheme="majorEastAsia" w:hAnsi="Calibri" w:cs="Calibri"/>
        </w:rPr>
        <w:t>e différentes familles de produits</w:t>
      </w:r>
      <w:r w:rsidR="00C72C1A" w:rsidRPr="004A7417">
        <w:rPr>
          <w:rFonts w:ascii="Calibri" w:eastAsiaTheme="majorEastAsia" w:hAnsi="Calibri" w:cs="Calibri"/>
        </w:rPr>
        <w:t>, elle établit une balance p</w:t>
      </w:r>
      <w:r w:rsidR="00090C76" w:rsidRPr="004A7417">
        <w:rPr>
          <w:rFonts w:ascii="Calibri" w:eastAsiaTheme="majorEastAsia" w:hAnsi="Calibri" w:cs="Calibri"/>
        </w:rPr>
        <w:t>our chacune</w:t>
      </w:r>
      <w:r w:rsidR="00C72C1A" w:rsidRPr="004A7417">
        <w:rPr>
          <w:rFonts w:ascii="Calibri" w:eastAsiaTheme="majorEastAsia" w:hAnsi="Calibri" w:cs="Calibri"/>
        </w:rPr>
        <w:t>.</w:t>
      </w:r>
    </w:p>
    <w:p w14:paraId="2F4B01A9" w14:textId="612969A7" w:rsidR="00D2533A" w:rsidRPr="004A7417" w:rsidRDefault="00D2533A" w:rsidP="00252E68">
      <w:pPr>
        <w:pStyle w:val="NormalWeb"/>
        <w:numPr>
          <w:ilvl w:val="0"/>
          <w:numId w:val="9"/>
        </w:numPr>
        <w:spacing w:before="0" w:beforeAutospacing="0"/>
        <w:jc w:val="both"/>
        <w:rPr>
          <w:rFonts w:ascii="Calibri" w:eastAsiaTheme="majorEastAsia" w:hAnsi="Calibri" w:cs="Calibri"/>
        </w:rPr>
      </w:pPr>
      <w:r w:rsidRPr="004A7417">
        <w:rPr>
          <w:rFonts w:ascii="Calibri" w:hAnsi="Calibri" w:cs="Calibri"/>
          <w:b/>
          <w:bCs/>
        </w:rPr>
        <w:t xml:space="preserve">Les émissions ajoutées (ou retirées) par les processus de production </w:t>
      </w:r>
      <w:r w:rsidRPr="004A7417">
        <w:rPr>
          <w:rFonts w:ascii="Calibri" w:hAnsi="Calibri" w:cs="Calibri"/>
        </w:rPr>
        <w:t>sont établies à dire d’expert appliquant un protocole carbone : Bilan Carbone</w:t>
      </w:r>
      <w:r w:rsidRPr="004A7417">
        <w:rPr>
          <w:rFonts w:ascii="Calibri" w:hAnsi="Calibri" w:cs="Calibri"/>
          <w:vertAlign w:val="superscript"/>
        </w:rPr>
        <w:t>©</w:t>
      </w:r>
      <w:r w:rsidRPr="004A7417">
        <w:rPr>
          <w:rFonts w:ascii="Calibri" w:hAnsi="Calibri" w:cs="Calibri"/>
        </w:rPr>
        <w:t xml:space="preserve"> ou GHG Protocol.</w:t>
      </w:r>
    </w:p>
    <w:p w14:paraId="5C645A28" w14:textId="2BEB043A" w:rsidR="00263D10" w:rsidRPr="004A7417" w:rsidRDefault="00B634F8" w:rsidP="00252E68">
      <w:pPr>
        <w:pStyle w:val="NormalWeb"/>
        <w:numPr>
          <w:ilvl w:val="0"/>
          <w:numId w:val="9"/>
        </w:numPr>
        <w:jc w:val="both"/>
        <w:rPr>
          <w:rFonts w:ascii="Calibri" w:hAnsi="Calibri" w:cs="Calibri"/>
        </w:rPr>
      </w:pPr>
      <w:r w:rsidRPr="004A7417">
        <w:rPr>
          <w:rFonts w:ascii="Calibri" w:hAnsi="Calibri" w:cs="Calibri"/>
          <w:b/>
          <w:bCs/>
        </w:rPr>
        <w:t>Le</w:t>
      </w:r>
      <w:r w:rsidR="009B19A8" w:rsidRPr="004A7417">
        <w:rPr>
          <w:rFonts w:ascii="Calibri" w:hAnsi="Calibri" w:cs="Calibri"/>
          <w:b/>
          <w:bCs/>
        </w:rPr>
        <w:t xml:space="preserve">s </w:t>
      </w:r>
      <w:r w:rsidR="00066EED" w:rsidRPr="004A7417">
        <w:rPr>
          <w:rFonts w:ascii="Calibri" w:hAnsi="Calibri" w:cs="Calibri"/>
          <w:b/>
          <w:bCs/>
        </w:rPr>
        <w:t xml:space="preserve">émissions </w:t>
      </w:r>
      <w:r w:rsidR="009B19A8" w:rsidRPr="004A7417">
        <w:rPr>
          <w:rFonts w:ascii="Calibri" w:hAnsi="Calibri" w:cs="Calibri"/>
          <w:b/>
          <w:bCs/>
        </w:rPr>
        <w:t>des achats</w:t>
      </w:r>
      <w:r w:rsidR="00C32663" w:rsidRPr="004A7417">
        <w:rPr>
          <w:rFonts w:ascii="Calibri" w:hAnsi="Calibri" w:cs="Calibri"/>
        </w:rPr>
        <w:t xml:space="preserve"> </w:t>
      </w:r>
      <w:r w:rsidRPr="004A7417">
        <w:rPr>
          <w:rFonts w:ascii="Calibri" w:hAnsi="Calibri" w:cs="Calibri"/>
        </w:rPr>
        <w:t xml:space="preserve">sont celles </w:t>
      </w:r>
      <w:r w:rsidR="00066EED" w:rsidRPr="004A7417">
        <w:rPr>
          <w:rFonts w:ascii="Calibri" w:hAnsi="Calibri" w:cs="Calibri"/>
        </w:rPr>
        <w:t>transmises par le fournisseur</w:t>
      </w:r>
      <w:r w:rsidR="00A96995" w:rsidRPr="004A7417">
        <w:rPr>
          <w:rFonts w:ascii="Calibri" w:hAnsi="Calibri" w:cs="Calibri"/>
        </w:rPr>
        <w:t xml:space="preserve"> appli</w:t>
      </w:r>
      <w:r w:rsidR="00E4595E" w:rsidRPr="004A7417">
        <w:rPr>
          <w:rFonts w:ascii="Calibri" w:hAnsi="Calibri" w:cs="Calibri"/>
        </w:rPr>
        <w:t>q</w:t>
      </w:r>
      <w:r w:rsidR="00A96995" w:rsidRPr="004A7417">
        <w:rPr>
          <w:rFonts w:ascii="Calibri" w:hAnsi="Calibri" w:cs="Calibri"/>
        </w:rPr>
        <w:t>uant une méthode équivalente</w:t>
      </w:r>
      <w:r w:rsidR="00263D10" w:rsidRPr="004A7417">
        <w:rPr>
          <w:rFonts w:ascii="Calibri" w:hAnsi="Calibri" w:cs="Calibri"/>
        </w:rPr>
        <w:t>. S</w:t>
      </w:r>
      <w:r w:rsidR="006D54A6" w:rsidRPr="004A7417">
        <w:rPr>
          <w:rFonts w:ascii="Calibri" w:hAnsi="Calibri" w:cs="Calibri"/>
        </w:rPr>
        <w:t>inon</w:t>
      </w:r>
      <w:r w:rsidR="00263D10" w:rsidRPr="004A7417">
        <w:rPr>
          <w:rFonts w:ascii="Calibri" w:hAnsi="Calibri" w:cs="Calibri"/>
        </w:rPr>
        <w:t xml:space="preserve">, </w:t>
      </w:r>
      <w:r w:rsidR="00C72C1A" w:rsidRPr="004A7417">
        <w:rPr>
          <w:rFonts w:ascii="Calibri" w:hAnsi="Calibri" w:cs="Calibri"/>
        </w:rPr>
        <w:t>et pour chaque groupe d’achat</w:t>
      </w:r>
      <w:r w:rsidR="00252E68" w:rsidRPr="004A7417">
        <w:rPr>
          <w:rFonts w:ascii="Calibri" w:hAnsi="Calibri" w:cs="Calibri"/>
        </w:rPr>
        <w:t xml:space="preserve"> qu’elle suit</w:t>
      </w:r>
      <w:r w:rsidR="00C72C1A" w:rsidRPr="004A7417">
        <w:rPr>
          <w:rFonts w:ascii="Calibri" w:hAnsi="Calibri" w:cs="Calibri"/>
        </w:rPr>
        <w:t xml:space="preserve">, </w:t>
      </w:r>
      <w:r w:rsidR="00263D10" w:rsidRPr="004A7417">
        <w:rPr>
          <w:rFonts w:ascii="Calibri" w:hAnsi="Calibri" w:cs="Calibri"/>
        </w:rPr>
        <w:t>l’e</w:t>
      </w:r>
      <w:r w:rsidR="00EC25C1" w:rsidRPr="004A7417">
        <w:rPr>
          <w:rFonts w:ascii="Calibri" w:hAnsi="Calibri" w:cs="Calibri"/>
        </w:rPr>
        <w:t>ntreprise</w:t>
      </w:r>
      <w:r w:rsidR="00263D10" w:rsidRPr="004A7417">
        <w:rPr>
          <w:rFonts w:ascii="Calibri" w:hAnsi="Calibri" w:cs="Calibri"/>
        </w:rPr>
        <w:t xml:space="preserve"> multiplie </w:t>
      </w:r>
      <w:r w:rsidR="003341AA" w:rsidRPr="004A7417">
        <w:rPr>
          <w:rFonts w:ascii="Calibri" w:hAnsi="Calibri" w:cs="Calibri"/>
        </w:rPr>
        <w:t>l</w:t>
      </w:r>
      <w:r w:rsidR="006436E0" w:rsidRPr="004A7417">
        <w:rPr>
          <w:rFonts w:ascii="Calibri" w:hAnsi="Calibri" w:cs="Calibri"/>
        </w:rPr>
        <w:t xml:space="preserve">a quantité </w:t>
      </w:r>
      <w:r w:rsidR="003B2200" w:rsidRPr="004A7417">
        <w:rPr>
          <w:rFonts w:ascii="Calibri" w:hAnsi="Calibri" w:cs="Calibri"/>
        </w:rPr>
        <w:t>achet</w:t>
      </w:r>
      <w:r w:rsidR="006436E0" w:rsidRPr="004A7417">
        <w:rPr>
          <w:rFonts w:ascii="Calibri" w:hAnsi="Calibri" w:cs="Calibri"/>
        </w:rPr>
        <w:t>ée</w:t>
      </w:r>
      <w:r w:rsidR="000862BD" w:rsidRPr="004A7417">
        <w:rPr>
          <w:rFonts w:ascii="Calibri" w:hAnsi="Calibri" w:cs="Calibri"/>
        </w:rPr>
        <w:t xml:space="preserve"> </w:t>
      </w:r>
      <w:r w:rsidR="006436E0" w:rsidRPr="004A7417">
        <w:rPr>
          <w:rFonts w:ascii="Calibri" w:hAnsi="Calibri" w:cs="Calibri"/>
        </w:rPr>
        <w:t xml:space="preserve">par </w:t>
      </w:r>
      <w:r w:rsidR="00E4595E" w:rsidRPr="004A7417">
        <w:rPr>
          <w:rFonts w:ascii="Calibri" w:hAnsi="Calibri" w:cs="Calibri"/>
        </w:rPr>
        <w:t>l’</w:t>
      </w:r>
      <w:r w:rsidR="006436E0" w:rsidRPr="004A7417">
        <w:rPr>
          <w:rFonts w:ascii="Calibri" w:hAnsi="Calibri" w:cs="Calibri"/>
        </w:rPr>
        <w:t xml:space="preserve">émission unitaire </w:t>
      </w:r>
      <w:r w:rsidR="00E4595E" w:rsidRPr="004A7417">
        <w:rPr>
          <w:rFonts w:ascii="Calibri" w:hAnsi="Calibri" w:cs="Calibri"/>
        </w:rPr>
        <w:t xml:space="preserve">moyenne des Comptes </w:t>
      </w:r>
      <w:r w:rsidR="0041577C" w:rsidRPr="004A7417">
        <w:rPr>
          <w:rFonts w:ascii="Calibri" w:hAnsi="Calibri" w:cs="Calibri"/>
        </w:rPr>
        <w:t xml:space="preserve">carbone </w:t>
      </w:r>
      <w:r w:rsidR="00E4595E" w:rsidRPr="004A7417">
        <w:rPr>
          <w:rFonts w:ascii="Calibri" w:hAnsi="Calibri" w:cs="Calibri"/>
        </w:rPr>
        <w:t xml:space="preserve">nationaux les plus récents </w:t>
      </w:r>
      <w:r w:rsidR="00D2533A" w:rsidRPr="004A7417">
        <w:rPr>
          <w:rFonts w:ascii="Calibri" w:hAnsi="Calibri" w:cs="Calibri"/>
        </w:rPr>
        <w:t>(</w:t>
      </w:r>
      <w:r w:rsidR="00E4595E" w:rsidRPr="004A7417">
        <w:rPr>
          <w:rFonts w:ascii="Calibri" w:hAnsi="Calibri" w:cs="Calibri"/>
        </w:rPr>
        <w:t>ou d’une autre source officielle</w:t>
      </w:r>
      <w:r w:rsidR="00E4595E" w:rsidRPr="004A7417">
        <w:rPr>
          <w:rStyle w:val="Appelnotedebasdep"/>
          <w:rFonts w:ascii="Calibri" w:hAnsi="Calibri" w:cs="Calibri"/>
        </w:rPr>
        <w:footnoteReference w:id="3"/>
      </w:r>
      <w:r w:rsidR="00D2533A" w:rsidRPr="004A7417">
        <w:rPr>
          <w:rFonts w:ascii="Calibri" w:hAnsi="Calibri" w:cs="Calibri"/>
        </w:rPr>
        <w:t>)</w:t>
      </w:r>
      <w:r w:rsidR="00E4595E" w:rsidRPr="004A7417">
        <w:rPr>
          <w:rFonts w:ascii="Calibri" w:hAnsi="Calibri" w:cs="Calibri"/>
        </w:rPr>
        <w:t xml:space="preserve"> </w:t>
      </w:r>
      <w:r w:rsidR="001845D4" w:rsidRPr="004A7417">
        <w:rPr>
          <w:rFonts w:ascii="Calibri" w:hAnsi="Calibri" w:cs="Calibri"/>
        </w:rPr>
        <w:t xml:space="preserve">correspondant à </w:t>
      </w:r>
      <w:r w:rsidR="0005180F" w:rsidRPr="004A7417">
        <w:rPr>
          <w:rFonts w:ascii="Calibri" w:hAnsi="Calibri" w:cs="Calibri"/>
        </w:rPr>
        <w:t>la branche d</w:t>
      </w:r>
      <w:r w:rsidR="00C72C1A" w:rsidRPr="004A7417">
        <w:rPr>
          <w:rFonts w:ascii="Calibri" w:hAnsi="Calibri" w:cs="Calibri"/>
        </w:rPr>
        <w:t>u group</w:t>
      </w:r>
      <w:r w:rsidR="0005180F" w:rsidRPr="004A7417">
        <w:rPr>
          <w:rFonts w:ascii="Calibri" w:hAnsi="Calibri" w:cs="Calibri"/>
        </w:rPr>
        <w:t xml:space="preserve">e </w:t>
      </w:r>
      <w:r w:rsidR="00C72C1A" w:rsidRPr="004A7417">
        <w:rPr>
          <w:rFonts w:ascii="Calibri" w:hAnsi="Calibri" w:cs="Calibri"/>
        </w:rPr>
        <w:t>d</w:t>
      </w:r>
      <w:r w:rsidR="001845D4" w:rsidRPr="004A7417">
        <w:rPr>
          <w:rFonts w:ascii="Calibri" w:hAnsi="Calibri" w:cs="Calibri"/>
        </w:rPr>
        <w:t xml:space="preserve">’achat </w:t>
      </w:r>
      <w:r w:rsidR="00504D41" w:rsidRPr="004A7417">
        <w:rPr>
          <w:rFonts w:ascii="Calibri" w:hAnsi="Calibri" w:cs="Calibri"/>
        </w:rPr>
        <w:t xml:space="preserve">et </w:t>
      </w:r>
      <w:r w:rsidR="00D958CD" w:rsidRPr="004A7417">
        <w:rPr>
          <w:rFonts w:ascii="Calibri" w:hAnsi="Calibri" w:cs="Calibri"/>
        </w:rPr>
        <w:t>intégrant un coefficient</w:t>
      </w:r>
      <w:r w:rsidR="00504D41" w:rsidRPr="004A7417">
        <w:rPr>
          <w:rFonts w:ascii="Calibri" w:hAnsi="Calibri" w:cs="Calibri"/>
        </w:rPr>
        <w:t xml:space="preserve"> de prudence. </w:t>
      </w:r>
      <w:r w:rsidR="00E5520D" w:rsidRPr="004A7417">
        <w:rPr>
          <w:rFonts w:ascii="Calibri" w:hAnsi="Calibri" w:cs="Calibri"/>
        </w:rPr>
        <w:t xml:space="preserve">Une </w:t>
      </w:r>
      <w:r w:rsidR="00C6213C" w:rsidRPr="004A7417">
        <w:rPr>
          <w:rFonts w:ascii="Calibri" w:hAnsi="Calibri" w:cs="Calibri"/>
        </w:rPr>
        <w:t xml:space="preserve">petite </w:t>
      </w:r>
      <w:r w:rsidR="00E5520D" w:rsidRPr="004A7417">
        <w:rPr>
          <w:rFonts w:ascii="Calibri" w:hAnsi="Calibri" w:cs="Calibri"/>
        </w:rPr>
        <w:t xml:space="preserve">entreprise peut </w:t>
      </w:r>
      <w:r w:rsidR="00C6213C" w:rsidRPr="004A7417">
        <w:rPr>
          <w:rFonts w:ascii="Calibri" w:hAnsi="Calibri" w:cs="Calibri"/>
        </w:rPr>
        <w:lastRenderedPageBreak/>
        <w:t xml:space="preserve">affecter aux groupes non </w:t>
      </w:r>
      <w:r w:rsidR="00D208AF" w:rsidRPr="004A7417">
        <w:rPr>
          <w:rFonts w:ascii="Calibri" w:hAnsi="Calibri" w:cs="Calibri"/>
        </w:rPr>
        <w:t xml:space="preserve">significatifs </w:t>
      </w:r>
      <w:r w:rsidR="00090C76" w:rsidRPr="004A7417">
        <w:rPr>
          <w:rFonts w:ascii="Calibri" w:hAnsi="Calibri" w:cs="Calibri"/>
        </w:rPr>
        <w:t xml:space="preserve">(par une part dans les coûts ou une émission unitaire faible) </w:t>
      </w:r>
      <w:r w:rsidR="00D2533A" w:rsidRPr="004A7417">
        <w:rPr>
          <w:rFonts w:ascii="Calibri" w:hAnsi="Calibri" w:cs="Calibri"/>
        </w:rPr>
        <w:t>une</w:t>
      </w:r>
      <w:r w:rsidR="00D208AF" w:rsidRPr="004A7417">
        <w:rPr>
          <w:rFonts w:ascii="Calibri" w:hAnsi="Calibri" w:cs="Calibri"/>
        </w:rPr>
        <w:t xml:space="preserve"> moyenne </w:t>
      </w:r>
      <w:r w:rsidR="00D2533A" w:rsidRPr="004A7417">
        <w:rPr>
          <w:rFonts w:ascii="Calibri" w:hAnsi="Calibri" w:cs="Calibri"/>
        </w:rPr>
        <w:t>tirée</w:t>
      </w:r>
      <w:r w:rsidR="00D208AF" w:rsidRPr="004A7417">
        <w:rPr>
          <w:rFonts w:ascii="Calibri" w:hAnsi="Calibri" w:cs="Calibri"/>
        </w:rPr>
        <w:t xml:space="preserve"> des Comptes nationaux.</w:t>
      </w:r>
    </w:p>
    <w:p w14:paraId="3F12B3F4" w14:textId="21E8321B" w:rsidR="009B08B7" w:rsidRPr="004A7417" w:rsidRDefault="00D2533A" w:rsidP="00252E68">
      <w:pPr>
        <w:pStyle w:val="NormalWeb"/>
        <w:numPr>
          <w:ilvl w:val="0"/>
          <w:numId w:val="9"/>
        </w:numPr>
        <w:spacing w:before="0" w:beforeAutospacing="0" w:after="0" w:afterAutospacing="0"/>
        <w:jc w:val="both"/>
        <w:rPr>
          <w:rFonts w:ascii="Calibri" w:hAnsi="Calibri" w:cs="Calibri"/>
        </w:rPr>
      </w:pPr>
      <w:r w:rsidRPr="004A7417">
        <w:rPr>
          <w:rFonts w:ascii="Calibri" w:hAnsi="Calibri" w:cs="Calibri"/>
        </w:rPr>
        <w:t>L’entreprise transmet au client</w:t>
      </w:r>
      <w:r w:rsidR="00D64AE4" w:rsidRPr="004A7417">
        <w:rPr>
          <w:rFonts w:ascii="Calibri" w:hAnsi="Calibri" w:cs="Calibri"/>
        </w:rPr>
        <w:t>,</w:t>
      </w:r>
      <w:r w:rsidR="00D64AE4" w:rsidRPr="004A7417">
        <w:rPr>
          <w:rFonts w:ascii="Calibri" w:hAnsi="Calibri" w:cs="Calibri"/>
          <w:b/>
          <w:bCs/>
        </w:rPr>
        <w:t xml:space="preserve"> </w:t>
      </w:r>
      <w:r w:rsidR="00D518C1" w:rsidRPr="004A7417">
        <w:rPr>
          <w:rFonts w:ascii="Calibri" w:hAnsi="Calibri" w:cs="Calibri"/>
        </w:rPr>
        <w:t xml:space="preserve">sur la facture ou sur un dispositif équivalent, </w:t>
      </w:r>
      <w:r w:rsidRPr="004A7417">
        <w:rPr>
          <w:rFonts w:ascii="Calibri" w:hAnsi="Calibri" w:cs="Calibri"/>
          <w:b/>
          <w:bCs/>
        </w:rPr>
        <w:t xml:space="preserve">son </w:t>
      </w:r>
      <w:r w:rsidR="00D518C1" w:rsidRPr="004A7417">
        <w:rPr>
          <w:rFonts w:ascii="Calibri" w:hAnsi="Calibri" w:cs="Calibri"/>
          <w:b/>
          <w:bCs/>
        </w:rPr>
        <w:t>estimation de</w:t>
      </w:r>
      <w:r w:rsidRPr="004A7417">
        <w:rPr>
          <w:rFonts w:ascii="Calibri" w:hAnsi="Calibri" w:cs="Calibri"/>
          <w:b/>
          <w:bCs/>
        </w:rPr>
        <w:t xml:space="preserve"> l’</w:t>
      </w:r>
      <w:r w:rsidR="00D518C1" w:rsidRPr="004A7417">
        <w:rPr>
          <w:rFonts w:ascii="Calibri" w:hAnsi="Calibri" w:cs="Calibri"/>
          <w:b/>
          <w:bCs/>
        </w:rPr>
        <w:t>émission de ce qui est vendu</w:t>
      </w:r>
      <w:r w:rsidR="009B08B7" w:rsidRPr="004A7417">
        <w:rPr>
          <w:rFonts w:ascii="Calibri" w:hAnsi="Calibri" w:cs="Calibri"/>
        </w:rPr>
        <w:t xml:space="preserve">. </w:t>
      </w:r>
      <w:r w:rsidRPr="004A7417">
        <w:rPr>
          <w:rFonts w:ascii="Calibri" w:hAnsi="Calibri" w:cs="Calibri"/>
        </w:rPr>
        <w:t xml:space="preserve">Elle applique au montant facturé </w:t>
      </w:r>
      <w:r w:rsidR="0000752D" w:rsidRPr="004A7417">
        <w:rPr>
          <w:rFonts w:ascii="Calibri" w:hAnsi="Calibri" w:cs="Calibri"/>
        </w:rPr>
        <w:t>l’émission moyenne par euro de sa dernière balance</w:t>
      </w:r>
      <w:r w:rsidR="009B08B7" w:rsidRPr="004A7417">
        <w:rPr>
          <w:rFonts w:ascii="Calibri" w:hAnsi="Calibri" w:cs="Calibri"/>
        </w:rPr>
        <w:t xml:space="preserve">, </w:t>
      </w:r>
      <w:r w:rsidRPr="004A7417">
        <w:rPr>
          <w:rFonts w:ascii="Calibri" w:hAnsi="Calibri" w:cs="Calibri"/>
        </w:rPr>
        <w:t xml:space="preserve">affinée par ses outils de gestion budgétaire et analytique </w:t>
      </w:r>
      <w:r w:rsidR="00A77E12" w:rsidRPr="004A7417">
        <w:rPr>
          <w:rFonts w:ascii="Calibri" w:hAnsi="Calibri" w:cs="Calibri"/>
        </w:rPr>
        <w:t xml:space="preserve">de façon à </w:t>
      </w:r>
      <w:r w:rsidR="00C85229" w:rsidRPr="004A7417">
        <w:rPr>
          <w:rFonts w:ascii="Calibri" w:hAnsi="Calibri" w:cs="Calibri"/>
        </w:rPr>
        <w:t>é</w:t>
      </w:r>
      <w:r w:rsidR="009B08B7" w:rsidRPr="004A7417">
        <w:rPr>
          <w:rFonts w:ascii="Calibri" w:hAnsi="Calibri" w:cs="Calibri"/>
        </w:rPr>
        <w:t xml:space="preserve">quilibrer </w:t>
      </w:r>
      <w:r w:rsidR="002917A1" w:rsidRPr="004A7417">
        <w:rPr>
          <w:rFonts w:ascii="Calibri" w:hAnsi="Calibri" w:cs="Calibri"/>
        </w:rPr>
        <w:t xml:space="preserve">au mieux </w:t>
      </w:r>
      <w:r w:rsidR="009B08B7" w:rsidRPr="004A7417">
        <w:rPr>
          <w:rFonts w:ascii="Calibri" w:hAnsi="Calibri" w:cs="Calibri"/>
        </w:rPr>
        <w:t>les émissions de production de l’exercice</w:t>
      </w:r>
      <w:r w:rsidR="002917A1" w:rsidRPr="004A7417">
        <w:rPr>
          <w:rFonts w:ascii="Calibri" w:hAnsi="Calibri" w:cs="Calibri"/>
        </w:rPr>
        <w:t>, globalement et par produit vendu</w:t>
      </w:r>
      <w:r w:rsidR="00CC64D7" w:rsidRPr="004A7417">
        <w:rPr>
          <w:rFonts w:ascii="Calibri" w:hAnsi="Calibri" w:cs="Calibri"/>
        </w:rPr>
        <w:t>.</w:t>
      </w:r>
    </w:p>
    <w:p w14:paraId="0C452D65" w14:textId="407E0148" w:rsidR="00B81BA3" w:rsidRPr="004A7417" w:rsidRDefault="00AC0768" w:rsidP="00252E68">
      <w:pPr>
        <w:pStyle w:val="NormalWeb"/>
        <w:numPr>
          <w:ilvl w:val="0"/>
          <w:numId w:val="9"/>
        </w:numPr>
        <w:spacing w:before="0" w:beforeAutospacing="0" w:after="0" w:afterAutospacing="0"/>
        <w:jc w:val="both"/>
        <w:rPr>
          <w:rFonts w:ascii="Calibri" w:eastAsiaTheme="majorEastAsia" w:hAnsi="Calibri" w:cs="Calibri"/>
        </w:rPr>
      </w:pPr>
      <w:r w:rsidRPr="004A7417">
        <w:rPr>
          <w:rFonts w:ascii="Calibri" w:hAnsi="Calibri" w:cs="Calibri"/>
          <w:b/>
          <w:bCs/>
        </w:rPr>
        <w:t>La vérification d</w:t>
      </w:r>
      <w:r w:rsidR="00874778" w:rsidRPr="004A7417">
        <w:rPr>
          <w:rFonts w:ascii="Calibri" w:hAnsi="Calibri" w:cs="Calibri"/>
          <w:b/>
          <w:bCs/>
        </w:rPr>
        <w:t xml:space="preserve">e la </w:t>
      </w:r>
      <w:r w:rsidR="001247E0" w:rsidRPr="004A7417">
        <w:rPr>
          <w:rFonts w:ascii="Calibri" w:hAnsi="Calibri" w:cs="Calibri"/>
          <w:b/>
          <w:bCs/>
        </w:rPr>
        <w:t xml:space="preserve">ou des </w:t>
      </w:r>
      <w:r w:rsidR="00874778" w:rsidRPr="004A7417">
        <w:rPr>
          <w:rFonts w:ascii="Calibri" w:hAnsi="Calibri" w:cs="Calibri"/>
          <w:b/>
          <w:bCs/>
        </w:rPr>
        <w:t>balance</w:t>
      </w:r>
      <w:r w:rsidR="001247E0" w:rsidRPr="004A7417">
        <w:rPr>
          <w:rFonts w:ascii="Calibri" w:hAnsi="Calibri" w:cs="Calibri"/>
          <w:b/>
          <w:bCs/>
        </w:rPr>
        <w:t>s</w:t>
      </w:r>
      <w:r w:rsidR="00874778" w:rsidRPr="004A7417">
        <w:rPr>
          <w:rFonts w:ascii="Calibri" w:hAnsi="Calibri" w:cs="Calibri"/>
          <w:b/>
          <w:bCs/>
        </w:rPr>
        <w:t xml:space="preserve"> d’émissions</w:t>
      </w:r>
      <w:r w:rsidR="00E602B2" w:rsidRPr="004A7417">
        <w:rPr>
          <w:rFonts w:ascii="Calibri" w:hAnsi="Calibri" w:cs="Calibri"/>
          <w:b/>
          <w:bCs/>
        </w:rPr>
        <w:t xml:space="preserve"> </w:t>
      </w:r>
      <w:r w:rsidRPr="004A7417">
        <w:rPr>
          <w:rFonts w:ascii="Calibri" w:hAnsi="Calibri" w:cs="Calibri"/>
          <w:b/>
          <w:bCs/>
        </w:rPr>
        <w:t>par un tiers de confiance</w:t>
      </w:r>
      <w:r w:rsidRPr="004A7417">
        <w:rPr>
          <w:rFonts w:ascii="Calibri" w:hAnsi="Calibri" w:cs="Calibri"/>
        </w:rPr>
        <w:t xml:space="preserve"> porte sur</w:t>
      </w:r>
      <w:r w:rsidR="0089522F" w:rsidRPr="004A7417">
        <w:rPr>
          <w:rFonts w:ascii="Calibri" w:hAnsi="Calibri" w:cs="Calibri"/>
        </w:rPr>
        <w:t> </w:t>
      </w:r>
      <w:r w:rsidR="00B81BA3" w:rsidRPr="004A7417">
        <w:rPr>
          <w:rFonts w:ascii="Calibri" w:hAnsi="Calibri" w:cs="Calibri"/>
        </w:rPr>
        <w:t xml:space="preserve">le respect des </w:t>
      </w:r>
      <w:r w:rsidR="004F634D" w:rsidRPr="004A7417">
        <w:rPr>
          <w:rFonts w:ascii="Calibri" w:hAnsi="Calibri" w:cs="Calibri"/>
          <w:b/>
          <w:bCs/>
        </w:rPr>
        <w:t>paragraphe</w:t>
      </w:r>
      <w:r w:rsidR="00B81BA3" w:rsidRPr="004A7417">
        <w:rPr>
          <w:rFonts w:ascii="Calibri" w:hAnsi="Calibri" w:cs="Calibri"/>
          <w:b/>
          <w:bCs/>
        </w:rPr>
        <w:t xml:space="preserve">s </w:t>
      </w:r>
      <w:r w:rsidR="004B65AC" w:rsidRPr="004A7417">
        <w:rPr>
          <w:rFonts w:ascii="Calibri" w:hAnsi="Calibri" w:cs="Calibri"/>
          <w:b/>
          <w:bCs/>
        </w:rPr>
        <w:t>2</w:t>
      </w:r>
      <w:r w:rsidR="00B81BA3" w:rsidRPr="004A7417">
        <w:rPr>
          <w:rFonts w:ascii="Calibri" w:hAnsi="Calibri" w:cs="Calibri"/>
          <w:b/>
          <w:bCs/>
        </w:rPr>
        <w:t xml:space="preserve">, </w:t>
      </w:r>
      <w:r w:rsidR="004B65AC" w:rsidRPr="004A7417">
        <w:rPr>
          <w:rFonts w:ascii="Calibri" w:hAnsi="Calibri" w:cs="Calibri"/>
          <w:b/>
          <w:bCs/>
        </w:rPr>
        <w:t>3</w:t>
      </w:r>
      <w:r w:rsidR="00B81BA3" w:rsidRPr="004A7417">
        <w:rPr>
          <w:rFonts w:ascii="Calibri" w:hAnsi="Calibri" w:cs="Calibri"/>
          <w:b/>
          <w:bCs/>
        </w:rPr>
        <w:t xml:space="preserve"> et </w:t>
      </w:r>
      <w:r w:rsidR="004B65AC" w:rsidRPr="004A7417">
        <w:rPr>
          <w:rFonts w:ascii="Calibri" w:hAnsi="Calibri" w:cs="Calibri"/>
          <w:b/>
          <w:bCs/>
        </w:rPr>
        <w:t>4</w:t>
      </w:r>
      <w:r w:rsidR="00B81BA3" w:rsidRPr="004A7417">
        <w:rPr>
          <w:rFonts w:ascii="Calibri" w:hAnsi="Calibri" w:cs="Calibri"/>
        </w:rPr>
        <w:t xml:space="preserve">. Elle s’appuie notamment sur une vérification et une réconciliation par sondage du montant des émissions transmises par les fournisseurs et des émissions transmises aux clients. Elle vérifie le cas échéant l’existence du certificat d’expertise prévu </w:t>
      </w:r>
      <w:r w:rsidR="00D64AE4" w:rsidRPr="004A7417">
        <w:rPr>
          <w:rFonts w:ascii="Calibri" w:hAnsi="Calibri" w:cs="Calibri"/>
        </w:rPr>
        <w:t>au</w:t>
      </w:r>
      <w:r w:rsidR="00B81BA3" w:rsidRPr="004A7417">
        <w:rPr>
          <w:rFonts w:ascii="Calibri" w:hAnsi="Calibri" w:cs="Calibri"/>
        </w:rPr>
        <w:t xml:space="preserve"> </w:t>
      </w:r>
      <w:r w:rsidR="004F634D" w:rsidRPr="004A7417">
        <w:rPr>
          <w:rFonts w:ascii="Calibri" w:hAnsi="Calibri" w:cs="Calibri"/>
          <w:b/>
          <w:bCs/>
        </w:rPr>
        <w:t>paragraphe</w:t>
      </w:r>
      <w:r w:rsidR="00B81BA3" w:rsidRPr="004A7417">
        <w:rPr>
          <w:rFonts w:ascii="Calibri" w:hAnsi="Calibri" w:cs="Calibri"/>
          <w:b/>
          <w:bCs/>
        </w:rPr>
        <w:t xml:space="preserve"> </w:t>
      </w:r>
      <w:r w:rsidR="00326BBF" w:rsidRPr="004A7417">
        <w:rPr>
          <w:rFonts w:ascii="Calibri" w:hAnsi="Calibri" w:cs="Calibri"/>
          <w:b/>
          <w:bCs/>
        </w:rPr>
        <w:t>3</w:t>
      </w:r>
      <w:r w:rsidR="00B81BA3" w:rsidRPr="004A7417">
        <w:rPr>
          <w:rFonts w:ascii="Calibri" w:hAnsi="Calibri" w:cs="Calibri"/>
        </w:rPr>
        <w:t xml:space="preserve">, émis sous la responsabilité de l’expert indépendant. </w:t>
      </w:r>
    </w:p>
    <w:p w14:paraId="60ADB190" w14:textId="4E3DE4CD" w:rsidR="00B81BA3" w:rsidRPr="004A7417" w:rsidRDefault="00B81BA3" w:rsidP="00252E68">
      <w:pPr>
        <w:pStyle w:val="NormalWeb"/>
        <w:spacing w:before="0" w:beforeAutospacing="0" w:after="0" w:afterAutospacing="0"/>
        <w:ind w:left="360"/>
        <w:jc w:val="both"/>
        <w:rPr>
          <w:rFonts w:ascii="Calibri" w:hAnsi="Calibri" w:cs="Calibri"/>
        </w:rPr>
      </w:pPr>
      <w:r w:rsidRPr="004A7417">
        <w:rPr>
          <w:rFonts w:ascii="Calibri" w:hAnsi="Calibri" w:cs="Calibri"/>
        </w:rPr>
        <w:t xml:space="preserve">Le tiers de confiance à l’issue de sa vérification confirme le bon respect de la méthode et </w:t>
      </w:r>
      <w:r w:rsidR="001247E0" w:rsidRPr="004A7417">
        <w:rPr>
          <w:rFonts w:ascii="Calibri" w:hAnsi="Calibri" w:cs="Calibri"/>
        </w:rPr>
        <w:t>l’équilibre global d</w:t>
      </w:r>
      <w:r w:rsidRPr="004A7417">
        <w:rPr>
          <w:rFonts w:ascii="Calibri" w:hAnsi="Calibri" w:cs="Calibri"/>
        </w:rPr>
        <w:t>e</w:t>
      </w:r>
      <w:r w:rsidR="002917A1" w:rsidRPr="004A7417">
        <w:rPr>
          <w:rFonts w:ascii="Calibri" w:hAnsi="Calibri" w:cs="Calibri"/>
        </w:rPr>
        <w:t xml:space="preserve"> </w:t>
      </w:r>
      <w:r w:rsidRPr="004A7417">
        <w:rPr>
          <w:rFonts w:ascii="Calibri" w:hAnsi="Calibri" w:cs="Calibri"/>
        </w:rPr>
        <w:t xml:space="preserve">la </w:t>
      </w:r>
      <w:r w:rsidR="001247E0" w:rsidRPr="004A7417">
        <w:rPr>
          <w:rFonts w:ascii="Calibri" w:hAnsi="Calibri" w:cs="Calibri"/>
        </w:rPr>
        <w:t xml:space="preserve">ou des </w:t>
      </w:r>
      <w:r w:rsidRPr="004A7417">
        <w:rPr>
          <w:rFonts w:ascii="Calibri" w:hAnsi="Calibri" w:cs="Calibri"/>
        </w:rPr>
        <w:t>balance</w:t>
      </w:r>
      <w:r w:rsidR="001247E0" w:rsidRPr="004A7417">
        <w:rPr>
          <w:rFonts w:ascii="Calibri" w:hAnsi="Calibri" w:cs="Calibri"/>
        </w:rPr>
        <w:t>s</w:t>
      </w:r>
      <w:r w:rsidRPr="004A7417">
        <w:rPr>
          <w:rFonts w:ascii="Calibri" w:hAnsi="Calibri" w:cs="Calibri"/>
        </w:rPr>
        <w:t xml:space="preserve"> annuelle</w:t>
      </w:r>
      <w:r w:rsidR="001247E0" w:rsidRPr="004A7417">
        <w:rPr>
          <w:rFonts w:ascii="Calibri" w:hAnsi="Calibri" w:cs="Calibri"/>
        </w:rPr>
        <w:t xml:space="preserve">s : un </w:t>
      </w:r>
      <w:r w:rsidRPr="004A7417">
        <w:rPr>
          <w:rFonts w:ascii="Calibri" w:hAnsi="Calibri" w:cs="Calibri"/>
        </w:rPr>
        <w:t>déséquilibre positif</w:t>
      </w:r>
      <w:r w:rsidR="001247E0" w:rsidRPr="004A7417">
        <w:rPr>
          <w:rFonts w:ascii="Calibri" w:hAnsi="Calibri" w:cs="Calibri"/>
        </w:rPr>
        <w:t xml:space="preserve"> ne doit pas être</w:t>
      </w:r>
      <w:r w:rsidRPr="004A7417">
        <w:rPr>
          <w:rFonts w:ascii="Calibri" w:hAnsi="Calibri" w:cs="Calibri"/>
        </w:rPr>
        <w:t xml:space="preserve"> significatif et répété.</w:t>
      </w:r>
      <w:r w:rsidR="00025F87" w:rsidRPr="004A7417">
        <w:rPr>
          <w:rFonts w:ascii="Calibri" w:hAnsi="Calibri" w:cs="Calibri"/>
        </w:rPr>
        <w:t xml:space="preserve"> </w:t>
      </w:r>
      <w:r w:rsidR="001247E0" w:rsidRPr="004A7417">
        <w:rPr>
          <w:rFonts w:ascii="Calibri" w:hAnsi="Calibri" w:cs="Calibri"/>
        </w:rPr>
        <w:t>Il ne vérifie pas l</w:t>
      </w:r>
      <w:r w:rsidRPr="004A7417">
        <w:rPr>
          <w:rFonts w:ascii="Calibri" w:hAnsi="Calibri" w:cs="Calibri"/>
        </w:rPr>
        <w:t>a qualité de l’</w:t>
      </w:r>
      <w:r w:rsidR="001247E0" w:rsidRPr="004A7417">
        <w:rPr>
          <w:rFonts w:ascii="Calibri" w:hAnsi="Calibri" w:cs="Calibri"/>
        </w:rPr>
        <w:t>équilibre par produit</w:t>
      </w:r>
      <w:r w:rsidRPr="004A7417">
        <w:rPr>
          <w:rFonts w:ascii="Calibri" w:hAnsi="Calibri" w:cs="Calibri"/>
        </w:rPr>
        <w:t>.</w:t>
      </w:r>
    </w:p>
    <w:p w14:paraId="7FC8A3F4" w14:textId="77777777" w:rsidR="00FF1872" w:rsidRPr="004A7417" w:rsidRDefault="00FF1872" w:rsidP="00252E68">
      <w:pPr>
        <w:pStyle w:val="NormalWeb"/>
        <w:spacing w:before="0" w:beforeAutospacing="0"/>
        <w:jc w:val="both"/>
        <w:rPr>
          <w:rFonts w:ascii="Calibri" w:hAnsi="Calibri" w:cs="Calibri"/>
        </w:rPr>
      </w:pPr>
    </w:p>
    <w:p w14:paraId="75654F43" w14:textId="64478D03" w:rsidR="00460B40" w:rsidRPr="004A7417" w:rsidRDefault="00CF0D2D" w:rsidP="00252E68">
      <w:pPr>
        <w:spacing w:after="0"/>
        <w:jc w:val="both"/>
        <w:rPr>
          <w:rFonts w:ascii="Calibri" w:hAnsi="Calibri" w:cs="Calibri"/>
          <w:b/>
          <w:bCs/>
        </w:rPr>
      </w:pPr>
      <w:r w:rsidRPr="004A7417">
        <w:rPr>
          <w:rFonts w:ascii="Calibri" w:hAnsi="Calibri" w:cs="Calibri"/>
          <w:b/>
          <w:bCs/>
        </w:rPr>
        <w:t xml:space="preserve">Volet 2 </w:t>
      </w:r>
      <w:r w:rsidR="00FC433C" w:rsidRPr="004A7417">
        <w:rPr>
          <w:rFonts w:ascii="Calibri" w:hAnsi="Calibri" w:cs="Calibri"/>
          <w:b/>
          <w:bCs/>
        </w:rPr>
        <w:t xml:space="preserve">– La décarbonation </w:t>
      </w:r>
      <w:r w:rsidR="00F101F9" w:rsidRPr="004A7417">
        <w:rPr>
          <w:rFonts w:ascii="Calibri" w:hAnsi="Calibri" w:cs="Calibri"/>
          <w:b/>
          <w:bCs/>
        </w:rPr>
        <w:t>de l’entreprise</w:t>
      </w:r>
    </w:p>
    <w:p w14:paraId="0D494A95" w14:textId="77777777" w:rsidR="00495D4E" w:rsidRPr="004A7417" w:rsidRDefault="00495D4E" w:rsidP="00252E68">
      <w:pPr>
        <w:spacing w:after="0"/>
        <w:jc w:val="both"/>
        <w:rPr>
          <w:rFonts w:ascii="Calibri" w:hAnsi="Calibri" w:cs="Calibri"/>
          <w:b/>
          <w:bCs/>
        </w:rPr>
      </w:pPr>
    </w:p>
    <w:p w14:paraId="33F184AC" w14:textId="0F14794F" w:rsidR="00BF421F" w:rsidRPr="004A7417" w:rsidRDefault="00BF421F" w:rsidP="00252E68">
      <w:pPr>
        <w:jc w:val="both"/>
        <w:rPr>
          <w:rStyle w:val="lev"/>
          <w:rFonts w:ascii="Calibri" w:hAnsi="Calibri" w:cs="Calibri"/>
          <w:b w:val="0"/>
          <w:bCs w:val="0"/>
        </w:rPr>
      </w:pPr>
      <w:r w:rsidRPr="004A7417">
        <w:rPr>
          <w:rStyle w:val="lev"/>
          <w:rFonts w:ascii="Calibri" w:eastAsiaTheme="majorEastAsia" w:hAnsi="Calibri" w:cs="Calibri"/>
        </w:rPr>
        <w:t>La décarbonation d’une entreprise</w:t>
      </w:r>
      <w:r w:rsidRPr="004A7417">
        <w:rPr>
          <w:rStyle w:val="lev"/>
          <w:rFonts w:ascii="Calibri" w:eastAsiaTheme="majorEastAsia" w:hAnsi="Calibri" w:cs="Calibri"/>
          <w:b w:val="0"/>
          <w:bCs w:val="0"/>
        </w:rPr>
        <w:t xml:space="preserve"> (ou décarbonation) par rapport à l’année précédente </w:t>
      </w:r>
      <w:r w:rsidR="00F101F9" w:rsidRPr="004A7417">
        <w:rPr>
          <w:rStyle w:val="lev"/>
          <w:rFonts w:ascii="Calibri" w:eastAsiaTheme="majorEastAsia" w:hAnsi="Calibri" w:cs="Calibri"/>
          <w:b w:val="0"/>
          <w:bCs w:val="0"/>
        </w:rPr>
        <w:t xml:space="preserve">est </w:t>
      </w:r>
      <w:r w:rsidR="00F101F9" w:rsidRPr="004A7417">
        <w:rPr>
          <w:rFonts w:ascii="Calibri" w:hAnsi="Calibri" w:cs="Calibri"/>
        </w:rPr>
        <w:t>sa contribution nette à la réduction</w:t>
      </w:r>
      <w:r w:rsidR="00C6213C" w:rsidRPr="004A7417">
        <w:rPr>
          <w:rFonts w:ascii="Calibri" w:hAnsi="Calibri" w:cs="Calibri"/>
        </w:rPr>
        <w:t xml:space="preserve"> collective</w:t>
      </w:r>
      <w:r w:rsidR="00F101F9" w:rsidRPr="004A7417">
        <w:rPr>
          <w:rFonts w:ascii="Calibri" w:hAnsi="Calibri" w:cs="Calibri"/>
        </w:rPr>
        <w:t>, d’une année à l’autre, des émissions nettes de gaz à effet de serre dans l’atmosphère.</w:t>
      </w:r>
      <w:r w:rsidRPr="004A7417">
        <w:rPr>
          <w:rStyle w:val="lev"/>
          <w:rFonts w:ascii="Calibri" w:eastAsiaTheme="majorEastAsia" w:hAnsi="Calibri" w:cs="Calibri"/>
          <w:b w:val="0"/>
          <w:bCs w:val="0"/>
        </w:rPr>
        <w:t xml:space="preserve"> Par convention, une décarbonation positive correspond à une réduction des gaz à effet de serre dans l’atmosphère, une décarbonation négative à une augmentation.</w:t>
      </w:r>
    </w:p>
    <w:p w14:paraId="34BEBDF9" w14:textId="61391A55" w:rsidR="00460B40" w:rsidRPr="004A7417" w:rsidRDefault="00460B40" w:rsidP="00252E68">
      <w:pPr>
        <w:jc w:val="both"/>
        <w:rPr>
          <w:rFonts w:ascii="Calibri" w:hAnsi="Calibri" w:cs="Calibri"/>
        </w:rPr>
      </w:pPr>
      <w:r w:rsidRPr="004A7417">
        <w:rPr>
          <w:rFonts w:ascii="Calibri" w:hAnsi="Calibri" w:cs="Calibri"/>
          <w:b/>
          <w:bCs/>
        </w:rPr>
        <w:t>Le volet 2</w:t>
      </w:r>
      <w:r w:rsidRPr="004A7417">
        <w:rPr>
          <w:rFonts w:ascii="Calibri" w:hAnsi="Calibri" w:cs="Calibri"/>
        </w:rPr>
        <w:t xml:space="preserve"> </w:t>
      </w:r>
      <w:r w:rsidR="00495D4E" w:rsidRPr="004A7417">
        <w:rPr>
          <w:rFonts w:ascii="Calibri" w:hAnsi="Calibri" w:cs="Calibri"/>
        </w:rPr>
        <w:t xml:space="preserve">vise à </w:t>
      </w:r>
      <w:r w:rsidRPr="004A7417">
        <w:rPr>
          <w:rFonts w:ascii="Calibri" w:hAnsi="Calibri" w:cs="Calibri"/>
        </w:rPr>
        <w:t>donne</w:t>
      </w:r>
      <w:r w:rsidR="00495D4E" w:rsidRPr="004A7417">
        <w:rPr>
          <w:rFonts w:ascii="Calibri" w:hAnsi="Calibri" w:cs="Calibri"/>
        </w:rPr>
        <w:t>r</w:t>
      </w:r>
      <w:r w:rsidRPr="004A7417">
        <w:rPr>
          <w:rFonts w:ascii="Calibri" w:hAnsi="Calibri" w:cs="Calibri"/>
        </w:rPr>
        <w:t xml:space="preserve"> à </w:t>
      </w:r>
      <w:r w:rsidR="00F101F9" w:rsidRPr="004A7417">
        <w:rPr>
          <w:rFonts w:ascii="Calibri" w:hAnsi="Calibri" w:cs="Calibri"/>
        </w:rPr>
        <w:t>l’</w:t>
      </w:r>
      <w:r w:rsidRPr="004A7417">
        <w:rPr>
          <w:rFonts w:ascii="Calibri" w:hAnsi="Calibri" w:cs="Calibri"/>
        </w:rPr>
        <w:t>entreprise une mesure robuste et additive de sa décarbonation. En intégrant la décarbonation des acteurs qu’elle finance, elle obtient sa décarbonation financière qu’elle transmet aux acteurs qui la finance.</w:t>
      </w:r>
    </w:p>
    <w:p w14:paraId="648C53FF" w14:textId="72619526" w:rsidR="00590F95" w:rsidRPr="004A7417" w:rsidRDefault="00460B40" w:rsidP="00252E68">
      <w:pPr>
        <w:pStyle w:val="Paragraphedeliste"/>
        <w:numPr>
          <w:ilvl w:val="0"/>
          <w:numId w:val="9"/>
        </w:numPr>
        <w:spacing w:after="0"/>
        <w:jc w:val="both"/>
        <w:rPr>
          <w:rStyle w:val="Aucun"/>
          <w:rFonts w:ascii="Calibri" w:hAnsi="Calibri" w:cs="Calibri"/>
        </w:rPr>
      </w:pPr>
      <w:r w:rsidRPr="004A7417">
        <w:rPr>
          <w:rStyle w:val="lev"/>
          <w:rFonts w:ascii="Calibri" w:eastAsiaTheme="majorEastAsia" w:hAnsi="Calibri" w:cs="Calibri"/>
          <w:b w:val="0"/>
          <w:bCs w:val="0"/>
        </w:rPr>
        <w:t xml:space="preserve">L’entreprise appuie la mesure </w:t>
      </w:r>
      <w:r w:rsidR="00AC2CAA" w:rsidRPr="004A7417">
        <w:rPr>
          <w:rStyle w:val="lev"/>
          <w:rFonts w:ascii="Calibri" w:eastAsiaTheme="majorEastAsia" w:hAnsi="Calibri" w:cs="Calibri"/>
          <w:b w:val="0"/>
          <w:bCs w:val="0"/>
        </w:rPr>
        <w:t xml:space="preserve">de sa décarbonation </w:t>
      </w:r>
      <w:r w:rsidRPr="004A7417">
        <w:rPr>
          <w:rStyle w:val="lev"/>
          <w:rFonts w:ascii="Calibri" w:eastAsiaTheme="majorEastAsia" w:hAnsi="Calibri" w:cs="Calibri"/>
          <w:b w:val="0"/>
          <w:bCs w:val="0"/>
        </w:rPr>
        <w:t xml:space="preserve">sur </w:t>
      </w:r>
      <w:r w:rsidR="006F0C44" w:rsidRPr="004A7417">
        <w:rPr>
          <w:rStyle w:val="lev"/>
          <w:rFonts w:ascii="Calibri" w:eastAsiaTheme="majorEastAsia" w:hAnsi="Calibri" w:cs="Calibri"/>
          <w:b w:val="0"/>
          <w:bCs w:val="0"/>
        </w:rPr>
        <w:t>s</w:t>
      </w:r>
      <w:r w:rsidRPr="004A7417">
        <w:rPr>
          <w:rStyle w:val="lev"/>
          <w:rFonts w:ascii="Calibri" w:eastAsiaTheme="majorEastAsia" w:hAnsi="Calibri" w:cs="Calibri"/>
          <w:b w:val="0"/>
          <w:bCs w:val="0"/>
        </w:rPr>
        <w:t>es balances annuelles d’émissions</w:t>
      </w:r>
      <w:r w:rsidRPr="004A7417">
        <w:rPr>
          <w:rFonts w:ascii="Calibri" w:eastAsiaTheme="majorEastAsia" w:hAnsi="Calibri" w:cs="Calibri"/>
          <w:b/>
          <w:bCs/>
        </w:rPr>
        <w:t xml:space="preserve"> </w:t>
      </w:r>
      <w:r w:rsidRPr="004A7417">
        <w:rPr>
          <w:rFonts w:ascii="Calibri" w:eastAsiaTheme="majorEastAsia" w:hAnsi="Calibri" w:cs="Calibri"/>
        </w:rPr>
        <w:t>(</w:t>
      </w:r>
      <w:r w:rsidRPr="004A7417">
        <w:rPr>
          <w:rFonts w:ascii="Calibri" w:eastAsiaTheme="majorEastAsia" w:hAnsi="Calibri" w:cs="Calibri"/>
          <w:b/>
          <w:bCs/>
        </w:rPr>
        <w:t>paragraphe 1</w:t>
      </w:r>
      <w:r w:rsidRPr="004A7417">
        <w:rPr>
          <w:rFonts w:ascii="Calibri" w:eastAsiaTheme="majorEastAsia" w:hAnsi="Calibri" w:cs="Calibri"/>
        </w:rPr>
        <w:t>)</w:t>
      </w:r>
      <w:r w:rsidRPr="004A7417">
        <w:rPr>
          <w:rFonts w:ascii="Calibri" w:eastAsiaTheme="majorEastAsia" w:hAnsi="Calibri" w:cs="Calibri"/>
          <w:b/>
          <w:bCs/>
        </w:rPr>
        <w:t xml:space="preserve"> </w:t>
      </w:r>
      <w:r w:rsidRPr="004A7417">
        <w:rPr>
          <w:rFonts w:ascii="Calibri" w:eastAsiaTheme="majorEastAsia" w:hAnsi="Calibri" w:cs="Calibri"/>
        </w:rPr>
        <w:t>de deux exercices successifs</w:t>
      </w:r>
      <w:r w:rsidR="00590F95" w:rsidRPr="004A7417">
        <w:rPr>
          <w:rFonts w:ascii="Calibri" w:eastAsiaTheme="majorEastAsia" w:hAnsi="Calibri" w:cs="Calibri"/>
        </w:rPr>
        <w:t xml:space="preserve">, rendues </w:t>
      </w:r>
      <w:r w:rsidRPr="004A7417">
        <w:rPr>
          <w:rFonts w:ascii="Calibri" w:eastAsiaTheme="majorEastAsia" w:hAnsi="Calibri" w:cs="Calibri"/>
        </w:rPr>
        <w:t>comparable</w:t>
      </w:r>
      <w:r w:rsidR="00590F95" w:rsidRPr="004A7417">
        <w:rPr>
          <w:rFonts w:ascii="Calibri" w:eastAsiaTheme="majorEastAsia" w:hAnsi="Calibri" w:cs="Calibri"/>
        </w:rPr>
        <w:t>s en s’appuyant sur des quantités physiques ou des valeurs en monnaie constante</w:t>
      </w:r>
      <w:r w:rsidRPr="004A7417">
        <w:rPr>
          <w:rStyle w:val="lev"/>
          <w:rFonts w:ascii="Calibri" w:eastAsiaTheme="majorEastAsia" w:hAnsi="Calibri" w:cs="Calibri"/>
          <w:b w:val="0"/>
          <w:bCs w:val="0"/>
        </w:rPr>
        <w:t>.</w:t>
      </w:r>
      <w:r w:rsidR="00590F95" w:rsidRPr="004A7417">
        <w:rPr>
          <w:rStyle w:val="lev"/>
          <w:rFonts w:ascii="Calibri" w:eastAsiaTheme="majorEastAsia" w:hAnsi="Calibri" w:cs="Calibri"/>
          <w:b w:val="0"/>
          <w:bCs w:val="0"/>
        </w:rPr>
        <w:t xml:space="preserve"> </w:t>
      </w:r>
      <w:r w:rsidR="006F0C44" w:rsidRPr="004A7417">
        <w:rPr>
          <w:rStyle w:val="Aucun"/>
          <w:rFonts w:ascii="Calibri" w:hAnsi="Calibri" w:cs="Calibri"/>
        </w:rPr>
        <w:t>Pour cha</w:t>
      </w:r>
      <w:r w:rsidR="00E82C7E" w:rsidRPr="004A7417">
        <w:rPr>
          <w:rStyle w:val="Aucun"/>
          <w:rFonts w:ascii="Calibri" w:hAnsi="Calibri" w:cs="Calibri"/>
        </w:rPr>
        <w:t>cune de ses offres</w:t>
      </w:r>
      <w:r w:rsidR="006F0C44" w:rsidRPr="004A7417">
        <w:rPr>
          <w:rStyle w:val="Aucun"/>
          <w:rFonts w:ascii="Calibri" w:hAnsi="Calibri" w:cs="Calibri"/>
        </w:rPr>
        <w:t xml:space="preserve"> </w:t>
      </w:r>
      <w:r w:rsidR="00C6213C" w:rsidRPr="004A7417">
        <w:rPr>
          <w:rStyle w:val="Aucun"/>
          <w:rFonts w:ascii="Calibri" w:hAnsi="Calibri" w:cs="Calibri"/>
        </w:rPr>
        <w:t>(</w:t>
      </w:r>
      <w:r w:rsidR="00C6213C" w:rsidRPr="004A7417">
        <w:rPr>
          <w:rStyle w:val="Aucun"/>
          <w:rFonts w:ascii="Calibri" w:hAnsi="Calibri" w:cs="Calibri"/>
          <w:b/>
          <w:bCs/>
        </w:rPr>
        <w:t>paragraphe</w:t>
      </w:r>
      <w:r w:rsidR="006F0C44" w:rsidRPr="004A7417">
        <w:rPr>
          <w:rStyle w:val="Aucun"/>
          <w:rFonts w:ascii="Calibri" w:hAnsi="Calibri" w:cs="Calibri"/>
          <w:b/>
          <w:bCs/>
        </w:rPr>
        <w:t xml:space="preserve"> 1</w:t>
      </w:r>
      <w:r w:rsidR="006F0C44" w:rsidRPr="004A7417">
        <w:rPr>
          <w:rStyle w:val="Aucun"/>
          <w:rFonts w:ascii="Calibri" w:hAnsi="Calibri" w:cs="Calibri"/>
        </w:rPr>
        <w:t xml:space="preserve">), </w:t>
      </w:r>
      <w:r w:rsidR="00E82C7E" w:rsidRPr="004A7417">
        <w:rPr>
          <w:rStyle w:val="Aucun"/>
          <w:rFonts w:ascii="Calibri" w:hAnsi="Calibri" w:cs="Calibri"/>
        </w:rPr>
        <w:t>l’entreprise</w:t>
      </w:r>
      <w:r w:rsidR="00590F95" w:rsidRPr="004A7417">
        <w:rPr>
          <w:rStyle w:val="lev"/>
          <w:rFonts w:ascii="Calibri" w:eastAsiaTheme="majorEastAsia" w:hAnsi="Calibri" w:cs="Calibri"/>
          <w:b w:val="0"/>
          <w:bCs w:val="0"/>
        </w:rPr>
        <w:t xml:space="preserve"> </w:t>
      </w:r>
      <w:r w:rsidR="006F0C44" w:rsidRPr="004A7417">
        <w:rPr>
          <w:rStyle w:val="lev"/>
          <w:rFonts w:ascii="Calibri" w:eastAsiaTheme="majorEastAsia" w:hAnsi="Calibri" w:cs="Calibri"/>
          <w:b w:val="0"/>
          <w:bCs w:val="0"/>
        </w:rPr>
        <w:t xml:space="preserve">mesure </w:t>
      </w:r>
      <w:r w:rsidR="00590F95" w:rsidRPr="004A7417">
        <w:rPr>
          <w:rStyle w:val="Aucun"/>
          <w:rFonts w:ascii="Calibri" w:hAnsi="Calibri" w:cs="Calibri"/>
        </w:rPr>
        <w:t>la variation des émissions de ses ventes d’une année à l’autre</w:t>
      </w:r>
      <w:r w:rsidR="006F0C44" w:rsidRPr="004A7417">
        <w:rPr>
          <w:rStyle w:val="Aucun"/>
          <w:rFonts w:ascii="Calibri" w:hAnsi="Calibri" w:cs="Calibri"/>
        </w:rPr>
        <w:t xml:space="preserve"> et la décompose en </w:t>
      </w:r>
      <w:r w:rsidR="00590F95" w:rsidRPr="004A7417">
        <w:rPr>
          <w:rStyle w:val="Aucun"/>
          <w:rFonts w:ascii="Calibri" w:hAnsi="Calibri" w:cs="Calibri"/>
        </w:rPr>
        <w:t>deux contributions à la décarbonation</w:t>
      </w:r>
      <w:r w:rsidR="006F0C44" w:rsidRPr="004A7417">
        <w:rPr>
          <w:rStyle w:val="Aucun"/>
          <w:rFonts w:ascii="Calibri" w:hAnsi="Calibri" w:cs="Calibri"/>
        </w:rPr>
        <w:t> : celle</w:t>
      </w:r>
      <w:r w:rsidR="00590F95" w:rsidRPr="004A7417">
        <w:rPr>
          <w:rStyle w:val="Aucun"/>
          <w:rFonts w:ascii="Calibri" w:hAnsi="Calibri" w:cs="Calibri"/>
        </w:rPr>
        <w:t xml:space="preserve"> venant de </w:t>
      </w:r>
      <w:r w:rsidR="00590F95" w:rsidRPr="004A7417">
        <w:rPr>
          <w:rFonts w:ascii="Calibri" w:hAnsi="Calibri" w:cs="Calibri"/>
        </w:rPr>
        <w:t xml:space="preserve">la variation de la quantité vendue (à qualité, c’est-à-dire à émission unitaire constante, </w:t>
      </w:r>
      <w:r w:rsidR="00590F95" w:rsidRPr="004A7417">
        <w:rPr>
          <w:rFonts w:ascii="Calibri" w:hAnsi="Calibri" w:cs="Calibri"/>
          <w:b/>
          <w:bCs/>
        </w:rPr>
        <w:t>paragraphe 6</w:t>
      </w:r>
      <w:r w:rsidR="00590F95" w:rsidRPr="004A7417">
        <w:rPr>
          <w:rFonts w:ascii="Calibri" w:hAnsi="Calibri" w:cs="Calibri"/>
        </w:rPr>
        <w:t>)</w:t>
      </w:r>
      <w:r w:rsidR="006F0C44" w:rsidRPr="004A7417">
        <w:rPr>
          <w:rFonts w:ascii="Calibri" w:hAnsi="Calibri" w:cs="Calibri"/>
        </w:rPr>
        <w:t xml:space="preserve"> ; </w:t>
      </w:r>
      <w:r w:rsidR="00590F95" w:rsidRPr="004A7417">
        <w:rPr>
          <w:rFonts w:ascii="Calibri" w:hAnsi="Calibri" w:cs="Calibri"/>
        </w:rPr>
        <w:t xml:space="preserve">et </w:t>
      </w:r>
      <w:r w:rsidR="006F0C44" w:rsidRPr="004A7417">
        <w:rPr>
          <w:rFonts w:ascii="Calibri" w:hAnsi="Calibri" w:cs="Calibri"/>
        </w:rPr>
        <w:t xml:space="preserve">celle venant </w:t>
      </w:r>
      <w:r w:rsidR="00590F95" w:rsidRPr="004A7417">
        <w:rPr>
          <w:rFonts w:ascii="Calibri" w:hAnsi="Calibri" w:cs="Calibri"/>
        </w:rPr>
        <w:t xml:space="preserve">de la variation de la qualité des ventes (à quantité vendue constante, </w:t>
      </w:r>
      <w:r w:rsidR="00590F95" w:rsidRPr="004A7417">
        <w:rPr>
          <w:rFonts w:ascii="Calibri" w:hAnsi="Calibri" w:cs="Calibri"/>
          <w:b/>
          <w:bCs/>
        </w:rPr>
        <w:t>paragraphe 7</w:t>
      </w:r>
      <w:r w:rsidR="00590F95" w:rsidRPr="004A7417">
        <w:rPr>
          <w:rFonts w:ascii="Calibri" w:hAnsi="Calibri" w:cs="Calibri"/>
        </w:rPr>
        <w:t>).</w:t>
      </w:r>
    </w:p>
    <w:p w14:paraId="45626D73" w14:textId="3C258C93" w:rsidR="006F0C44" w:rsidRPr="004A7417" w:rsidRDefault="00AC2CAA" w:rsidP="00252E68">
      <w:pPr>
        <w:pStyle w:val="Paragraphedeliste"/>
        <w:spacing w:after="0"/>
        <w:ind w:left="360"/>
        <w:jc w:val="both"/>
        <w:rPr>
          <w:rStyle w:val="Aucun"/>
          <w:rFonts w:ascii="Calibri" w:hAnsi="Calibri" w:cs="Calibri"/>
        </w:rPr>
      </w:pPr>
      <w:r w:rsidRPr="004A7417">
        <w:rPr>
          <w:rStyle w:val="Aucun"/>
          <w:rFonts w:ascii="Calibri" w:hAnsi="Calibri" w:cs="Calibri"/>
        </w:rPr>
        <w:t xml:space="preserve">Pour </w:t>
      </w:r>
      <w:r w:rsidR="00E82C7E" w:rsidRPr="004A7417">
        <w:rPr>
          <w:rStyle w:val="Aucun"/>
          <w:rFonts w:ascii="Calibri" w:hAnsi="Calibri" w:cs="Calibri"/>
        </w:rPr>
        <w:t xml:space="preserve">corriger </w:t>
      </w:r>
      <w:r w:rsidRPr="004A7417">
        <w:rPr>
          <w:rStyle w:val="Aucun"/>
          <w:rFonts w:ascii="Calibri" w:hAnsi="Calibri" w:cs="Calibri"/>
        </w:rPr>
        <w:t>les doubles-comptes des émissions</w:t>
      </w:r>
      <w:r w:rsidRPr="004A7417">
        <w:rPr>
          <w:rStyle w:val="Appelnotedebasdep"/>
          <w:rFonts w:ascii="Calibri" w:hAnsi="Calibri" w:cs="Calibri"/>
        </w:rPr>
        <w:footnoteReference w:id="4"/>
      </w:r>
      <w:r w:rsidRPr="004A7417">
        <w:rPr>
          <w:rStyle w:val="Aucun"/>
          <w:rFonts w:ascii="Calibri" w:hAnsi="Calibri" w:cs="Calibri"/>
        </w:rPr>
        <w:t xml:space="preserve"> et faciliter la collaboration au sein des chaines de valeur, </w:t>
      </w:r>
      <w:r w:rsidR="006F0C44" w:rsidRPr="004A7417">
        <w:rPr>
          <w:rStyle w:val="Aucun"/>
          <w:rFonts w:ascii="Calibri" w:hAnsi="Calibri" w:cs="Calibri"/>
        </w:rPr>
        <w:t xml:space="preserve">des conventions </w:t>
      </w:r>
      <w:r w:rsidR="00590F95" w:rsidRPr="004A7417">
        <w:rPr>
          <w:rStyle w:val="Aucun"/>
          <w:rFonts w:ascii="Calibri" w:hAnsi="Calibri" w:cs="Calibri"/>
        </w:rPr>
        <w:t>partag</w:t>
      </w:r>
      <w:r w:rsidR="006F0C44" w:rsidRPr="004A7417">
        <w:rPr>
          <w:rStyle w:val="Aucun"/>
          <w:rFonts w:ascii="Calibri" w:hAnsi="Calibri" w:cs="Calibri"/>
        </w:rPr>
        <w:t>ent</w:t>
      </w:r>
      <w:r w:rsidR="00590F95" w:rsidRPr="004A7417">
        <w:rPr>
          <w:rStyle w:val="Aucun"/>
          <w:rFonts w:ascii="Calibri" w:hAnsi="Calibri" w:cs="Calibri"/>
        </w:rPr>
        <w:t xml:space="preserve"> </w:t>
      </w:r>
      <w:r w:rsidR="006F0C44" w:rsidRPr="004A7417">
        <w:rPr>
          <w:rStyle w:val="Aucun"/>
          <w:rFonts w:ascii="Calibri" w:hAnsi="Calibri" w:cs="Calibri"/>
        </w:rPr>
        <w:t>c</w:t>
      </w:r>
      <w:r w:rsidRPr="004A7417">
        <w:rPr>
          <w:rStyle w:val="Aucun"/>
          <w:rFonts w:ascii="Calibri" w:hAnsi="Calibri" w:cs="Calibri"/>
        </w:rPr>
        <w:t>e</w:t>
      </w:r>
      <w:r w:rsidR="006F0C44" w:rsidRPr="004A7417">
        <w:rPr>
          <w:rStyle w:val="Aucun"/>
          <w:rFonts w:ascii="Calibri" w:hAnsi="Calibri" w:cs="Calibri"/>
        </w:rPr>
        <w:t xml:space="preserve">s </w:t>
      </w:r>
      <w:r w:rsidR="00E82C7E" w:rsidRPr="004A7417">
        <w:rPr>
          <w:rStyle w:val="Aucun"/>
          <w:rFonts w:ascii="Calibri" w:hAnsi="Calibri" w:cs="Calibri"/>
        </w:rPr>
        <w:t xml:space="preserve">deux </w:t>
      </w:r>
      <w:r w:rsidR="006F0C44" w:rsidRPr="004A7417">
        <w:rPr>
          <w:rStyle w:val="Aucun"/>
          <w:rFonts w:ascii="Calibri" w:hAnsi="Calibri" w:cs="Calibri"/>
        </w:rPr>
        <w:t>contributions e</w:t>
      </w:r>
      <w:r w:rsidRPr="004A7417">
        <w:rPr>
          <w:rStyle w:val="Aucun"/>
          <w:rFonts w:ascii="Calibri" w:hAnsi="Calibri" w:cs="Calibri"/>
        </w:rPr>
        <w:t>n</w:t>
      </w:r>
      <w:r w:rsidR="00590F95" w:rsidRPr="004A7417">
        <w:rPr>
          <w:rStyle w:val="Aucun"/>
          <w:rFonts w:ascii="Calibri" w:hAnsi="Calibri" w:cs="Calibri"/>
        </w:rPr>
        <w:t>tre</w:t>
      </w:r>
      <w:r w:rsidRPr="004A7417">
        <w:rPr>
          <w:rStyle w:val="Aucun"/>
          <w:rFonts w:ascii="Calibri" w:hAnsi="Calibri" w:cs="Calibri"/>
        </w:rPr>
        <w:t xml:space="preserve"> la décarbonation </w:t>
      </w:r>
      <w:r w:rsidR="006F0C44" w:rsidRPr="004A7417">
        <w:rPr>
          <w:rStyle w:val="Aucun"/>
          <w:rFonts w:ascii="Calibri" w:hAnsi="Calibri" w:cs="Calibri"/>
        </w:rPr>
        <w:t xml:space="preserve">attribuée à </w:t>
      </w:r>
      <w:r w:rsidRPr="004A7417">
        <w:rPr>
          <w:rStyle w:val="Aucun"/>
          <w:rFonts w:ascii="Calibri" w:hAnsi="Calibri" w:cs="Calibri"/>
        </w:rPr>
        <w:t>l’entreprise</w:t>
      </w:r>
      <w:r w:rsidR="00590F95" w:rsidRPr="004A7417">
        <w:rPr>
          <w:rStyle w:val="Aucun"/>
          <w:rFonts w:ascii="Calibri" w:hAnsi="Calibri" w:cs="Calibri"/>
        </w:rPr>
        <w:t xml:space="preserve"> et</w:t>
      </w:r>
      <w:r w:rsidRPr="004A7417">
        <w:rPr>
          <w:rStyle w:val="Aucun"/>
          <w:rFonts w:ascii="Calibri" w:hAnsi="Calibri" w:cs="Calibri"/>
        </w:rPr>
        <w:t xml:space="preserve"> </w:t>
      </w:r>
      <w:r w:rsidR="00590F95" w:rsidRPr="004A7417">
        <w:rPr>
          <w:rStyle w:val="Aucun"/>
          <w:rFonts w:ascii="Calibri" w:hAnsi="Calibri" w:cs="Calibri"/>
        </w:rPr>
        <w:t>ce</w:t>
      </w:r>
      <w:r w:rsidR="006F0C44" w:rsidRPr="004A7417">
        <w:rPr>
          <w:rStyle w:val="Aucun"/>
          <w:rFonts w:ascii="Calibri" w:hAnsi="Calibri" w:cs="Calibri"/>
        </w:rPr>
        <w:t>lle attribuée à s</w:t>
      </w:r>
      <w:r w:rsidRPr="004A7417">
        <w:rPr>
          <w:rStyle w:val="Aucun"/>
          <w:rFonts w:ascii="Calibri" w:hAnsi="Calibri" w:cs="Calibri"/>
        </w:rPr>
        <w:t>e</w:t>
      </w:r>
      <w:r w:rsidR="00590F95" w:rsidRPr="004A7417">
        <w:rPr>
          <w:rStyle w:val="Aucun"/>
          <w:rFonts w:ascii="Calibri" w:hAnsi="Calibri" w:cs="Calibri"/>
        </w:rPr>
        <w:t>s</w:t>
      </w:r>
      <w:r w:rsidRPr="004A7417">
        <w:rPr>
          <w:rStyle w:val="Aucun"/>
          <w:rFonts w:ascii="Calibri" w:hAnsi="Calibri" w:cs="Calibri"/>
        </w:rPr>
        <w:t xml:space="preserve"> fournisseurs</w:t>
      </w:r>
      <w:r w:rsidR="00590F95" w:rsidRPr="004A7417">
        <w:rPr>
          <w:rStyle w:val="Aucun"/>
          <w:rFonts w:ascii="Calibri" w:hAnsi="Calibri" w:cs="Calibri"/>
        </w:rPr>
        <w:t xml:space="preserve"> ou </w:t>
      </w:r>
      <w:r w:rsidRPr="004A7417">
        <w:rPr>
          <w:rStyle w:val="Aucun"/>
          <w:rFonts w:ascii="Calibri" w:hAnsi="Calibri" w:cs="Calibri"/>
        </w:rPr>
        <w:t xml:space="preserve">clients. </w:t>
      </w:r>
    </w:p>
    <w:p w14:paraId="346F60BC" w14:textId="069FF746" w:rsidR="00AC2CAA" w:rsidRPr="004A7417" w:rsidRDefault="00AC2CAA" w:rsidP="00252E68">
      <w:pPr>
        <w:pStyle w:val="Paragraphedeliste"/>
        <w:numPr>
          <w:ilvl w:val="0"/>
          <w:numId w:val="9"/>
        </w:numPr>
        <w:spacing w:after="0"/>
        <w:jc w:val="both"/>
        <w:rPr>
          <w:rStyle w:val="Aucun"/>
          <w:rFonts w:ascii="Calibri" w:eastAsiaTheme="majorEastAsia" w:hAnsi="Calibri" w:cs="Calibri"/>
          <w:b/>
          <w:bCs/>
        </w:rPr>
      </w:pPr>
      <w:r w:rsidRPr="004A7417">
        <w:rPr>
          <w:rFonts w:ascii="Calibri" w:hAnsi="Calibri" w:cs="Calibri"/>
        </w:rPr>
        <w:lastRenderedPageBreak/>
        <w:t xml:space="preserve">La contribution en quantité est considérée comme la décarbonation des clients (responsables de la demande) et donc à l’ultime des acheteurs finaux. Une partie </w:t>
      </w:r>
      <w:r w:rsidR="001247E0" w:rsidRPr="004A7417">
        <w:rPr>
          <w:rFonts w:ascii="Calibri" w:hAnsi="Calibri" w:cs="Calibri"/>
        </w:rPr>
        <w:t xml:space="preserve">de cette contribution </w:t>
      </w:r>
      <w:r w:rsidRPr="004A7417">
        <w:rPr>
          <w:rFonts w:ascii="Calibri" w:hAnsi="Calibri" w:cs="Calibri"/>
        </w:rPr>
        <w:t xml:space="preserve">dite effet de substitution est directement influencée par l’action de l’entreprise pour développer ses offres les plus performantes en carbone et réduire les autres. L’effet de substitution est égal à </w:t>
      </w:r>
      <w:r w:rsidRPr="004A7417">
        <w:rPr>
          <w:rStyle w:val="Aucun"/>
          <w:rFonts w:ascii="Calibri" w:eastAsiaTheme="majorEastAsia" w:hAnsi="Calibri" w:cs="Calibri"/>
        </w:rPr>
        <w:t>la multiplication de la variation des quantités vendues par l’écart entre l’émission unitaire de l’entreprise et l’émission moyenne du marché. Son signe est positif si l’entreprise augmente le volume vendu avec une offre moins émettrice que la moyenne du marché, ou la diminue avec une offre plus émettrice que la moyenne. Il est négatif dans les deux autres situations.</w:t>
      </w:r>
      <w:r w:rsidR="006F0C44" w:rsidRPr="004A7417">
        <w:rPr>
          <w:rStyle w:val="Aucun"/>
          <w:rFonts w:ascii="Calibri" w:eastAsiaTheme="majorEastAsia" w:hAnsi="Calibri" w:cs="Calibri"/>
        </w:rPr>
        <w:t xml:space="preserve"> </w:t>
      </w:r>
      <w:r w:rsidRPr="004A7417">
        <w:rPr>
          <w:rFonts w:ascii="Calibri" w:hAnsi="Calibri" w:cs="Calibri"/>
        </w:rPr>
        <w:t xml:space="preserve">L’effet de substitution pourra faire l’objet de règles de partage entre producteurs et clients finaux pour faciliter la collaboration </w:t>
      </w:r>
      <w:r w:rsidR="00E82C7E" w:rsidRPr="004A7417">
        <w:rPr>
          <w:rFonts w:ascii="Calibri" w:hAnsi="Calibri" w:cs="Calibri"/>
        </w:rPr>
        <w:t>sur la</w:t>
      </w:r>
      <w:r w:rsidRPr="004A7417">
        <w:rPr>
          <w:rFonts w:ascii="Calibri" w:hAnsi="Calibri" w:cs="Calibri"/>
        </w:rPr>
        <w:t xml:space="preserve"> décarbonation. </w:t>
      </w:r>
    </w:p>
    <w:p w14:paraId="2FDEDC52" w14:textId="28EFC810" w:rsidR="00AC2CAA" w:rsidRPr="004A7417" w:rsidRDefault="006F0C44" w:rsidP="00252E68">
      <w:pPr>
        <w:pStyle w:val="Paragraphedeliste"/>
        <w:numPr>
          <w:ilvl w:val="0"/>
          <w:numId w:val="9"/>
        </w:numPr>
        <w:jc w:val="both"/>
        <w:rPr>
          <w:rFonts w:ascii="Calibri" w:hAnsi="Calibri" w:cs="Calibri"/>
        </w:rPr>
      </w:pPr>
      <w:r w:rsidRPr="004A7417">
        <w:rPr>
          <w:rFonts w:ascii="Calibri" w:hAnsi="Calibri" w:cs="Calibri"/>
        </w:rPr>
        <w:t xml:space="preserve">Pour chaque </w:t>
      </w:r>
      <w:r w:rsidR="00C6213C" w:rsidRPr="004A7417">
        <w:rPr>
          <w:rFonts w:ascii="Calibri" w:hAnsi="Calibri" w:cs="Calibri"/>
        </w:rPr>
        <w:t xml:space="preserve">groupe </w:t>
      </w:r>
      <w:r w:rsidRPr="004A7417">
        <w:rPr>
          <w:rFonts w:ascii="Calibri" w:hAnsi="Calibri" w:cs="Calibri"/>
        </w:rPr>
        <w:t xml:space="preserve">d'achats </w:t>
      </w:r>
      <w:r w:rsidR="00252E68" w:rsidRPr="004A7417">
        <w:rPr>
          <w:rFonts w:ascii="Calibri" w:hAnsi="Calibri" w:cs="Calibri"/>
        </w:rPr>
        <w:t>suivi</w:t>
      </w:r>
      <w:r w:rsidRPr="004A7417">
        <w:rPr>
          <w:rFonts w:ascii="Calibri" w:hAnsi="Calibri" w:cs="Calibri"/>
        </w:rPr>
        <w:t xml:space="preserve"> </w:t>
      </w:r>
      <w:r w:rsidR="00C6213C" w:rsidRPr="004A7417">
        <w:rPr>
          <w:rFonts w:ascii="Calibri" w:hAnsi="Calibri" w:cs="Calibri"/>
        </w:rPr>
        <w:t>(</w:t>
      </w:r>
      <w:r w:rsidR="00C6213C" w:rsidRPr="004A7417">
        <w:rPr>
          <w:rFonts w:ascii="Calibri" w:hAnsi="Calibri" w:cs="Calibri"/>
          <w:b/>
          <w:bCs/>
        </w:rPr>
        <w:t>paragraphe 3</w:t>
      </w:r>
      <w:r w:rsidRPr="004A7417">
        <w:rPr>
          <w:rFonts w:ascii="Calibri" w:hAnsi="Calibri" w:cs="Calibri"/>
        </w:rPr>
        <w:t>), l</w:t>
      </w:r>
      <w:r w:rsidR="00AC2CAA" w:rsidRPr="004A7417">
        <w:rPr>
          <w:rFonts w:ascii="Calibri" w:hAnsi="Calibri" w:cs="Calibri"/>
        </w:rPr>
        <w:t xml:space="preserve">a contribution en qualité </w:t>
      </w:r>
      <w:r w:rsidRPr="004A7417">
        <w:rPr>
          <w:rFonts w:ascii="Calibri" w:hAnsi="Calibri" w:cs="Calibri"/>
        </w:rPr>
        <w:t xml:space="preserve">se décompose en </w:t>
      </w:r>
      <w:r w:rsidR="00AC2CAA" w:rsidRPr="004A7417">
        <w:rPr>
          <w:rFonts w:ascii="Calibri" w:hAnsi="Calibri" w:cs="Calibri"/>
        </w:rPr>
        <w:t>deux contributions </w:t>
      </w:r>
      <w:r w:rsidR="00C72C1A" w:rsidRPr="004A7417">
        <w:rPr>
          <w:rFonts w:ascii="Calibri" w:hAnsi="Calibri" w:cs="Calibri"/>
        </w:rPr>
        <w:t xml:space="preserve">à la décarbonation </w:t>
      </w:r>
      <w:r w:rsidR="00AC2CAA" w:rsidRPr="004A7417">
        <w:rPr>
          <w:rFonts w:ascii="Calibri" w:hAnsi="Calibri" w:cs="Calibri"/>
        </w:rPr>
        <w:t>: celle venant de la variation des quantités d’intrants (achats ou émissions directes) et celle venant de la variation de leur qualité (émission unitaire).</w:t>
      </w:r>
    </w:p>
    <w:p w14:paraId="13B70F55" w14:textId="0A69B70E" w:rsidR="00AC2CAA" w:rsidRPr="004A7417" w:rsidRDefault="00AC2CAA" w:rsidP="00252E68">
      <w:pPr>
        <w:pStyle w:val="Paragraphedeliste"/>
        <w:numPr>
          <w:ilvl w:val="0"/>
          <w:numId w:val="24"/>
        </w:numPr>
        <w:jc w:val="both"/>
        <w:rPr>
          <w:rFonts w:ascii="Calibri" w:hAnsi="Calibri" w:cs="Calibri"/>
        </w:rPr>
      </w:pPr>
      <w:r w:rsidRPr="004A7417">
        <w:rPr>
          <w:rFonts w:ascii="Calibri" w:hAnsi="Calibri" w:cs="Calibri"/>
        </w:rPr>
        <w:t xml:space="preserve">La contribution en quantité est considérée comme la décarbonation de l’entreprise, à travers ses gains de productivité et l’évolution de son offre. </w:t>
      </w:r>
    </w:p>
    <w:p w14:paraId="70D3E5AD" w14:textId="54F41817" w:rsidR="00AC2CAA" w:rsidRPr="004A7417" w:rsidRDefault="00AC2CAA" w:rsidP="00252E68">
      <w:pPr>
        <w:pStyle w:val="Paragraphedeliste"/>
        <w:numPr>
          <w:ilvl w:val="0"/>
          <w:numId w:val="24"/>
        </w:numPr>
        <w:jc w:val="both"/>
        <w:rPr>
          <w:rFonts w:ascii="Calibri" w:hAnsi="Calibri" w:cs="Calibri"/>
        </w:rPr>
      </w:pPr>
      <w:r w:rsidRPr="004A7417">
        <w:rPr>
          <w:rFonts w:ascii="Calibri" w:hAnsi="Calibri" w:cs="Calibri"/>
        </w:rPr>
        <w:t>La contribution en qualité est considérée comme la</w:t>
      </w:r>
      <w:r w:rsidR="00C72C1A" w:rsidRPr="004A7417">
        <w:rPr>
          <w:rFonts w:ascii="Calibri" w:hAnsi="Calibri" w:cs="Calibri"/>
        </w:rPr>
        <w:t xml:space="preserve"> </w:t>
      </w:r>
      <w:r w:rsidRPr="004A7417">
        <w:rPr>
          <w:rFonts w:ascii="Calibri" w:hAnsi="Calibri" w:cs="Calibri"/>
        </w:rPr>
        <w:t>décarbonation des chaines de fournisseurs</w:t>
      </w:r>
      <w:r w:rsidR="00C72C1A" w:rsidRPr="004A7417">
        <w:rPr>
          <w:rFonts w:ascii="Calibri" w:hAnsi="Calibri" w:cs="Calibri"/>
          <w:b/>
          <w:bCs/>
        </w:rPr>
        <w:t xml:space="preserve">. </w:t>
      </w:r>
      <w:r w:rsidR="00C72C1A" w:rsidRPr="004A7417">
        <w:rPr>
          <w:rFonts w:ascii="Calibri" w:hAnsi="Calibri" w:cs="Calibri"/>
        </w:rPr>
        <w:t xml:space="preserve">Elle est </w:t>
      </w:r>
      <w:r w:rsidRPr="004A7417">
        <w:rPr>
          <w:rFonts w:ascii="Calibri" w:hAnsi="Calibri" w:cs="Calibri"/>
        </w:rPr>
        <w:t>influencée par la politique d’achat de l’entreprise</w:t>
      </w:r>
      <w:r w:rsidR="00C72C1A" w:rsidRPr="004A7417">
        <w:rPr>
          <w:rFonts w:ascii="Calibri" w:hAnsi="Calibri" w:cs="Calibri"/>
        </w:rPr>
        <w:t xml:space="preserve"> et d</w:t>
      </w:r>
      <w:r w:rsidRPr="004A7417">
        <w:rPr>
          <w:rFonts w:ascii="Calibri" w:hAnsi="Calibri" w:cs="Calibri"/>
        </w:rPr>
        <w:t>es partages de décarbonation traduisant cette collaboration sont possible</w:t>
      </w:r>
      <w:r w:rsidR="00E82C7E" w:rsidRPr="004A7417">
        <w:rPr>
          <w:rFonts w:ascii="Calibri" w:hAnsi="Calibri" w:cs="Calibri"/>
        </w:rPr>
        <w:t>s</w:t>
      </w:r>
      <w:r w:rsidRPr="004A7417">
        <w:rPr>
          <w:rFonts w:ascii="Calibri" w:hAnsi="Calibri" w:cs="Calibri"/>
        </w:rPr>
        <w:t xml:space="preserve"> (</w:t>
      </w:r>
      <w:r w:rsidRPr="004A7417">
        <w:rPr>
          <w:rFonts w:ascii="Calibri" w:hAnsi="Calibri" w:cs="Calibri"/>
          <w:b/>
          <w:bCs/>
        </w:rPr>
        <w:t xml:space="preserve">paragraphe </w:t>
      </w:r>
      <w:r w:rsidR="00C72C1A" w:rsidRPr="004A7417">
        <w:rPr>
          <w:rFonts w:ascii="Calibri" w:hAnsi="Calibri" w:cs="Calibri"/>
          <w:b/>
          <w:bCs/>
        </w:rPr>
        <w:t>9</w:t>
      </w:r>
      <w:r w:rsidRPr="004A7417">
        <w:rPr>
          <w:rFonts w:ascii="Calibri" w:hAnsi="Calibri" w:cs="Calibri"/>
        </w:rPr>
        <w:t>)</w:t>
      </w:r>
    </w:p>
    <w:p w14:paraId="0C1F07BA" w14:textId="77777777" w:rsidR="00AC2CAA" w:rsidRPr="004A7417" w:rsidRDefault="00AC2CAA" w:rsidP="00252E68">
      <w:pPr>
        <w:pStyle w:val="Paragraphedeliste"/>
        <w:spacing w:after="0"/>
        <w:ind w:left="1080"/>
        <w:jc w:val="both"/>
        <w:rPr>
          <w:rStyle w:val="Aucun"/>
          <w:rFonts w:ascii="Calibri" w:eastAsiaTheme="majorEastAsia" w:hAnsi="Calibri" w:cs="Calibri"/>
          <w:b/>
          <w:bCs/>
        </w:rPr>
      </w:pPr>
      <w:r w:rsidRPr="004A7417">
        <w:rPr>
          <w:rStyle w:val="Aucun"/>
          <w:rFonts w:ascii="Calibri" w:hAnsi="Calibri" w:cs="Calibri"/>
          <w:i/>
          <w:iCs/>
        </w:rPr>
        <w:t>Formules mathématiques en annexe</w:t>
      </w:r>
    </w:p>
    <w:p w14:paraId="5A6B0752" w14:textId="7D433360" w:rsidR="00AC2CAA" w:rsidRPr="004A7417" w:rsidRDefault="00AC2CAA" w:rsidP="00252E68">
      <w:pPr>
        <w:pStyle w:val="Paragraphedeliste"/>
        <w:numPr>
          <w:ilvl w:val="0"/>
          <w:numId w:val="9"/>
        </w:numPr>
        <w:spacing w:after="0"/>
        <w:jc w:val="both"/>
        <w:rPr>
          <w:rFonts w:ascii="Calibri" w:hAnsi="Calibri" w:cs="Calibri"/>
        </w:rPr>
      </w:pPr>
      <w:r w:rsidRPr="004A7417">
        <w:rPr>
          <w:rStyle w:val="Aucun"/>
          <w:rFonts w:ascii="Calibri" w:eastAsiaTheme="majorEastAsia" w:hAnsi="Calibri" w:cs="Calibri"/>
        </w:rPr>
        <w:t xml:space="preserve">L’entreprise peut passer des accords avec des partenaires qui suivent aussi leur décarbonation, par lesquels l’un des partenaires apporte </w:t>
      </w:r>
      <w:r w:rsidRPr="004A7417">
        <w:rPr>
          <w:rFonts w:ascii="Calibri" w:eastAsiaTheme="majorEastAsia" w:hAnsi="Calibri" w:cs="Calibri"/>
        </w:rPr>
        <w:t>un conseil, un dispositif ou un financement censé décarboner, et l’autre apporte une quantité convenue de sa décarbonation, immédiatement ou à la réalisation d’une condition</w:t>
      </w:r>
      <w:r w:rsidRPr="004A7417">
        <w:rPr>
          <w:rStyle w:val="Aucun"/>
          <w:rFonts w:ascii="Calibri" w:eastAsiaTheme="majorEastAsia" w:hAnsi="Calibri" w:cs="Calibri"/>
        </w:rPr>
        <w:t>. C</w:t>
      </w:r>
      <w:r w:rsidRPr="004A7417">
        <w:rPr>
          <w:rFonts w:ascii="Calibri" w:hAnsi="Calibri" w:cs="Calibri"/>
        </w:rPr>
        <w:t xml:space="preserve">es transferts se font par </w:t>
      </w:r>
      <w:r w:rsidRPr="004A7417">
        <w:rPr>
          <w:rFonts w:ascii="Calibri" w:hAnsi="Calibri" w:cs="Calibri"/>
          <w:b/>
          <w:bCs/>
        </w:rPr>
        <w:t xml:space="preserve">des bordereaux de décarbonation </w:t>
      </w:r>
      <w:r w:rsidRPr="004A7417">
        <w:rPr>
          <w:rFonts w:ascii="Calibri" w:hAnsi="Calibri" w:cs="Calibri"/>
        </w:rPr>
        <w:t>où figurent les mêmes informations obligatoires qu’une facture.</w:t>
      </w:r>
    </w:p>
    <w:p w14:paraId="768991D1" w14:textId="77777777" w:rsidR="00460B40" w:rsidRPr="004A7417" w:rsidRDefault="00460B40" w:rsidP="00252E68">
      <w:pPr>
        <w:pStyle w:val="NormalWeb"/>
        <w:numPr>
          <w:ilvl w:val="0"/>
          <w:numId w:val="9"/>
        </w:numPr>
        <w:spacing w:before="0" w:beforeAutospacing="0" w:after="0" w:afterAutospacing="0"/>
        <w:jc w:val="both"/>
        <w:rPr>
          <w:rFonts w:ascii="Calibri" w:eastAsiaTheme="majorEastAsia" w:hAnsi="Calibri" w:cs="Calibri"/>
        </w:rPr>
      </w:pPr>
      <w:r w:rsidRPr="004A7417">
        <w:rPr>
          <w:rFonts w:ascii="Calibri" w:hAnsi="Calibri" w:cs="Calibri"/>
          <w:b/>
          <w:bCs/>
        </w:rPr>
        <w:t>La vérification par un tiers de confiance</w:t>
      </w:r>
      <w:r w:rsidRPr="004A7417">
        <w:rPr>
          <w:rFonts w:ascii="Calibri" w:hAnsi="Calibri" w:cs="Calibri"/>
        </w:rPr>
        <w:t xml:space="preserve"> porte sur les mesures et retraitements décrits et sur une vérification et une réconciliation exhaustive des bordereaux de décarbonation.</w:t>
      </w:r>
    </w:p>
    <w:p w14:paraId="16AC0619" w14:textId="77777777" w:rsidR="00460B40" w:rsidRPr="004A7417" w:rsidRDefault="00460B40" w:rsidP="00252E68">
      <w:pPr>
        <w:spacing w:after="0"/>
        <w:jc w:val="both"/>
        <w:rPr>
          <w:rFonts w:ascii="Calibri" w:eastAsiaTheme="majorEastAsia" w:hAnsi="Calibri" w:cs="Calibri"/>
        </w:rPr>
      </w:pPr>
    </w:p>
    <w:p w14:paraId="7CC85FE2" w14:textId="77777777" w:rsidR="00D64AE4" w:rsidRPr="004A7417" w:rsidRDefault="00D64AE4" w:rsidP="00252E68">
      <w:pPr>
        <w:jc w:val="both"/>
        <w:rPr>
          <w:rFonts w:ascii="Calibri" w:eastAsia="Times New Roman" w:hAnsi="Calibri" w:cs="Calibri"/>
          <w:b/>
          <w:bCs/>
          <w:kern w:val="0"/>
          <w:lang w:eastAsia="fr-FR"/>
          <w14:ligatures w14:val="none"/>
        </w:rPr>
      </w:pPr>
      <w:r w:rsidRPr="004A7417">
        <w:rPr>
          <w:rFonts w:ascii="Calibri" w:hAnsi="Calibri" w:cs="Calibri"/>
          <w:b/>
          <w:bCs/>
        </w:rPr>
        <w:br w:type="page"/>
      </w:r>
    </w:p>
    <w:p w14:paraId="4C54CE58" w14:textId="0950D357" w:rsidR="00CF0D2D" w:rsidRPr="004A7417" w:rsidRDefault="00CF0D2D" w:rsidP="00252E68">
      <w:pPr>
        <w:pStyle w:val="NormalWeb"/>
        <w:jc w:val="both"/>
        <w:rPr>
          <w:rStyle w:val="Aucun"/>
          <w:rFonts w:ascii="Calibri" w:eastAsiaTheme="majorEastAsia" w:hAnsi="Calibri" w:cs="Calibri"/>
          <w:b/>
          <w:bCs/>
        </w:rPr>
      </w:pPr>
      <w:r w:rsidRPr="004A7417">
        <w:rPr>
          <w:rFonts w:ascii="Calibri" w:hAnsi="Calibri" w:cs="Calibri"/>
          <w:b/>
          <w:bCs/>
        </w:rPr>
        <w:lastRenderedPageBreak/>
        <w:t>ANNEXE – Formules mathématiques</w:t>
      </w:r>
    </w:p>
    <w:p w14:paraId="346044A0" w14:textId="62BA94A9" w:rsidR="00252E68" w:rsidRPr="004A7417" w:rsidRDefault="00252E68" w:rsidP="00252E68">
      <w:pPr>
        <w:pStyle w:val="NormalWeb"/>
        <w:spacing w:before="0" w:beforeAutospacing="0" w:after="0" w:afterAutospacing="0"/>
        <w:jc w:val="both"/>
        <w:rPr>
          <w:rStyle w:val="Aucun"/>
          <w:rFonts w:ascii="Calibri" w:eastAsiaTheme="majorEastAsia" w:hAnsi="Calibri" w:cs="Calibri"/>
        </w:rPr>
      </w:pPr>
      <w:r w:rsidRPr="004A7417">
        <w:rPr>
          <w:rStyle w:val="Aucun"/>
          <w:rFonts w:ascii="Calibri" w:eastAsiaTheme="majorEastAsia" w:hAnsi="Calibri" w:cs="Calibri"/>
        </w:rPr>
        <w:t xml:space="preserve">Le calcul est fait pour chaque offre de l’entreprise, </w:t>
      </w:r>
      <w:r w:rsidRPr="004A7417">
        <w:rPr>
          <w:rStyle w:val="Aucun"/>
          <w:rFonts w:ascii="Calibri" w:eastAsiaTheme="majorEastAsia" w:hAnsi="Calibri" w:cs="Calibri"/>
          <w:b/>
          <w:bCs/>
        </w:rPr>
        <w:t>au sens du paragraphe 1</w:t>
      </w:r>
      <w:r w:rsidRPr="004A7417">
        <w:rPr>
          <w:rStyle w:val="Aucun"/>
          <w:rFonts w:ascii="Calibri" w:eastAsiaTheme="majorEastAsia" w:hAnsi="Calibri" w:cs="Calibri"/>
        </w:rPr>
        <w:t>.</w:t>
      </w:r>
    </w:p>
    <w:p w14:paraId="53D9228C" w14:textId="189201EB" w:rsidR="00D64AE4" w:rsidRPr="004A7417" w:rsidRDefault="00252E68" w:rsidP="00252E68">
      <w:pPr>
        <w:pStyle w:val="NormalWeb"/>
        <w:spacing w:before="0" w:beforeAutospacing="0" w:after="0" w:afterAutospacing="0"/>
        <w:jc w:val="both"/>
        <w:rPr>
          <w:rStyle w:val="Aucun"/>
          <w:rFonts w:ascii="Calibri" w:eastAsiaTheme="majorEastAsia" w:hAnsi="Calibri" w:cs="Calibri"/>
          <w:b/>
          <w:bCs/>
        </w:rPr>
      </w:pPr>
      <w:r w:rsidRPr="004A7417">
        <w:rPr>
          <w:rStyle w:val="Aucun"/>
          <w:rFonts w:ascii="Calibri" w:eastAsiaTheme="majorEastAsia" w:hAnsi="Calibri" w:cs="Calibri"/>
          <w:b/>
          <w:bCs/>
        </w:rPr>
        <w:t xml:space="preserve"> </w:t>
      </w:r>
    </w:p>
    <w:p w14:paraId="6C7CE3DA" w14:textId="728C550B" w:rsidR="00CF0D2D" w:rsidRPr="004A7417" w:rsidRDefault="00CF0D2D" w:rsidP="00252E68">
      <w:pPr>
        <w:pStyle w:val="NormalWeb"/>
        <w:spacing w:before="0" w:beforeAutospacing="0" w:after="0" w:afterAutospacing="0"/>
        <w:jc w:val="both"/>
        <w:rPr>
          <w:rStyle w:val="Aucun"/>
          <w:rFonts w:ascii="Calibri" w:eastAsiaTheme="majorEastAsia" w:hAnsi="Calibri" w:cs="Calibri"/>
          <w:b/>
          <w:bCs/>
        </w:rPr>
      </w:pPr>
      <w:r w:rsidRPr="004A7417">
        <w:rPr>
          <w:rStyle w:val="Aucun"/>
          <w:rFonts w:ascii="Calibri" w:eastAsiaTheme="majorEastAsia" w:hAnsi="Calibri" w:cs="Calibri"/>
          <w:b/>
          <w:bCs/>
        </w:rPr>
        <w:t>L’émission unitaire de</w:t>
      </w:r>
      <w:r w:rsidR="001247E0" w:rsidRPr="004A7417">
        <w:rPr>
          <w:rStyle w:val="Aucun"/>
          <w:rFonts w:ascii="Calibri" w:eastAsiaTheme="majorEastAsia" w:hAnsi="Calibri" w:cs="Calibri"/>
          <w:b/>
          <w:bCs/>
        </w:rPr>
        <w:t>s ventes</w:t>
      </w:r>
    </w:p>
    <w:p w14:paraId="0E3E12E4" w14:textId="7D1A89AA" w:rsidR="00CF0D2D" w:rsidRPr="004A7417" w:rsidRDefault="00000000" w:rsidP="00252E68">
      <w:pPr>
        <w:pStyle w:val="NormalWeb"/>
        <w:spacing w:before="0" w:beforeAutospacing="0" w:after="0" w:afterAutospacing="0"/>
        <w:ind w:left="708"/>
        <w:jc w:val="both"/>
        <w:rPr>
          <w:rFonts w:ascii="Calibri" w:eastAsiaTheme="majorEastAsia" w:hAnsi="Calibri" w:cs="Calibri"/>
          <w:i/>
          <w:iCs/>
        </w:rPr>
      </w:pP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1</m:t>
            </m:r>
          </m:sub>
        </m:sSub>
      </m:oMath>
      <w:r w:rsidR="00CF0D2D" w:rsidRPr="004A7417">
        <w:rPr>
          <w:rStyle w:val="Aucun"/>
          <w:rFonts w:ascii="Calibri" w:eastAsiaTheme="majorEastAsia" w:hAnsi="Calibri" w:cs="Calibri"/>
        </w:rPr>
        <w:t>, l’émission unitaire d’une vente, est la somme des intrants nécessaires divisée par l</w:t>
      </w:r>
      <w:r w:rsidR="001247E0" w:rsidRPr="004A7417">
        <w:rPr>
          <w:rStyle w:val="Aucun"/>
          <w:rFonts w:ascii="Calibri" w:eastAsiaTheme="majorEastAsia" w:hAnsi="Calibri" w:cs="Calibri"/>
        </w:rPr>
        <w:t>a quantité</w:t>
      </w:r>
      <w:r w:rsidR="00CF0D2D" w:rsidRPr="004A7417">
        <w:rPr>
          <w:rStyle w:val="Aucun"/>
          <w:rFonts w:ascii="Calibri" w:eastAsiaTheme="majorEastAsia" w:hAnsi="Calibri" w:cs="Calibri"/>
        </w:rPr>
        <w:t xml:space="preserve"> d’unités vendues. Si </w:t>
      </w: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i1</m:t>
            </m:r>
          </m:sub>
        </m:sSub>
      </m:oMath>
      <w:r w:rsidR="00CF0D2D" w:rsidRPr="004A7417">
        <w:rPr>
          <w:rStyle w:val="Aucun"/>
          <w:rFonts w:ascii="Calibri" w:eastAsiaTheme="majorEastAsia" w:hAnsi="Calibri" w:cs="Calibri"/>
        </w:rPr>
        <w:t xml:space="preserve"> and </w:t>
      </w: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oMath>
      <w:r w:rsidR="00CF0D2D" w:rsidRPr="004A7417">
        <w:rPr>
          <w:rStyle w:val="Aucun"/>
          <w:rFonts w:ascii="Calibri" w:eastAsiaTheme="majorEastAsia" w:hAnsi="Calibri" w:cs="Calibri"/>
        </w:rPr>
        <w:t xml:space="preserve"> sont les quantités et émissions unitaires des intrants i nécessaires pour produire une unité vendue l’année 1,</w:t>
      </w:r>
      <w:r w:rsidR="00CF0D2D" w:rsidRPr="004A7417">
        <w:rPr>
          <w:rStyle w:val="Aucun"/>
          <w:rFonts w:ascii="Calibri" w:eastAsiaTheme="majorEastAsia" w:hAnsi="Calibri" w:cs="Calibri"/>
          <w:i/>
          <w:iCs/>
        </w:rPr>
        <w:t xml:space="preserve"> </w:t>
      </w: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1</m:t>
            </m:r>
          </m:sub>
        </m:sSub>
        <m:r>
          <w:rPr>
            <w:rStyle w:val="Aucun"/>
            <w:rFonts w:ascii="Cambria Math" w:eastAsiaTheme="majorEastAsia" w:hAnsi="Cambria Math" w:cs="Calibri"/>
          </w:rPr>
          <m:t>=</m:t>
        </m:r>
        <m:nary>
          <m:naryPr>
            <m:chr m:val="∑"/>
            <m:limLoc m:val="subSup"/>
            <m:supHide m:val="1"/>
            <m:ctrlPr>
              <w:rPr>
                <w:rStyle w:val="Aucun"/>
                <w:rFonts w:ascii="Cambria Math" w:eastAsiaTheme="majorEastAsia" w:hAnsi="Cambria Math" w:cs="Calibri"/>
                <w:i/>
                <w:iCs/>
              </w:rPr>
            </m:ctrlPr>
          </m:naryPr>
          <m:sub>
            <m:r>
              <w:rPr>
                <w:rStyle w:val="Aucun"/>
                <w:rFonts w:ascii="Cambria Math" w:eastAsiaTheme="majorEastAsia" w:hAnsi="Cambria Math" w:cs="Calibri"/>
              </w:rPr>
              <m:t>i</m:t>
            </m:r>
          </m:sub>
          <m:sup/>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e>
        </m:nary>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i1</m:t>
            </m:r>
          </m:sub>
        </m:sSub>
      </m:oMath>
      <w:r w:rsidR="00CF0D2D" w:rsidRPr="004A7417">
        <w:rPr>
          <w:rStyle w:val="Aucun"/>
          <w:rFonts w:ascii="Calibri" w:eastAsiaTheme="majorEastAsia" w:hAnsi="Calibri" w:cs="Calibri"/>
        </w:rPr>
        <w:t xml:space="preserve">    </w:t>
      </w:r>
    </w:p>
    <w:p w14:paraId="7E676F7E" w14:textId="77777777" w:rsidR="00CF0D2D" w:rsidRPr="004A7417" w:rsidRDefault="00CF0D2D" w:rsidP="00252E68">
      <w:pPr>
        <w:pStyle w:val="NormalWeb"/>
        <w:spacing w:before="240" w:beforeAutospacing="0" w:after="0" w:afterAutospacing="0"/>
        <w:jc w:val="both"/>
        <w:rPr>
          <w:rFonts w:ascii="Calibri" w:hAnsi="Calibri" w:cs="Calibri"/>
          <w:b/>
          <w:bCs/>
        </w:rPr>
      </w:pPr>
      <w:r w:rsidRPr="004A7417">
        <w:rPr>
          <w:rFonts w:ascii="Calibri" w:hAnsi="Calibri" w:cs="Calibri"/>
          <w:b/>
          <w:bCs/>
        </w:rPr>
        <w:t>La variation d’émissions</w:t>
      </w:r>
    </w:p>
    <w:p w14:paraId="612D3D97" w14:textId="13EB51A1" w:rsidR="00CF0D2D" w:rsidRPr="004A7417" w:rsidRDefault="00CF0D2D" w:rsidP="00252E68">
      <w:pPr>
        <w:pStyle w:val="NormalWeb"/>
        <w:spacing w:before="0" w:beforeAutospacing="0"/>
        <w:ind w:left="708"/>
        <w:jc w:val="both"/>
        <w:rPr>
          <w:rFonts w:ascii="Calibri" w:hAnsi="Calibri" w:cs="Calibri"/>
          <w:i/>
          <w:iCs/>
        </w:rPr>
      </w:pPr>
      <w:r w:rsidRPr="004A7417">
        <w:rPr>
          <w:rStyle w:val="Aucun"/>
          <w:rFonts w:ascii="Calibri" w:eastAsiaTheme="majorEastAsia" w:hAnsi="Calibri" w:cs="Calibri"/>
        </w:rPr>
        <w:t xml:space="preserve">Si Q1 et Q2 sont les quantités vendues les années 1 et 2, la variation peut être présentée comme la somme d’un effet « variation de la quantité vendue » et un effet « variation de </w:t>
      </w:r>
      <w:r w:rsidR="001247E0" w:rsidRPr="004A7417">
        <w:rPr>
          <w:rStyle w:val="Aucun"/>
          <w:rFonts w:ascii="Calibri" w:eastAsiaTheme="majorEastAsia" w:hAnsi="Calibri" w:cs="Calibri"/>
        </w:rPr>
        <w:t xml:space="preserve">la qualité ou </w:t>
      </w:r>
      <w:r w:rsidRPr="004A7417">
        <w:rPr>
          <w:rStyle w:val="Aucun"/>
          <w:rFonts w:ascii="Calibri" w:eastAsiaTheme="majorEastAsia" w:hAnsi="Calibri" w:cs="Calibri"/>
        </w:rPr>
        <w:t xml:space="preserve">émission unitaire » : </w:t>
      </w:r>
      <m:oMath>
        <m:sSub>
          <m:sSubPr>
            <m:ctrlPr>
              <w:rPr>
                <w:rStyle w:val="Aucun"/>
                <w:rFonts w:ascii="Cambria Math" w:eastAsiaTheme="majorEastAsia" w:hAnsi="Cambria Math" w:cs="Calibri"/>
                <w:i/>
                <w:iCs/>
              </w:rPr>
            </m:ctrlPr>
          </m:sSub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1</m:t>
                </m:r>
              </m:sub>
            </m:sSub>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2</m:t>
                </m:r>
              </m:sub>
            </m:sSub>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2</m:t>
                </m:r>
              </m:sub>
            </m:sSub>
            <m:r>
              <w:rPr>
                <w:rStyle w:val="Aucun"/>
                <w:rFonts w:ascii="Cambria Math" w:eastAsiaTheme="majorEastAsia" w:hAnsi="Cambria Math" w:cs="Calibri"/>
              </w:rPr>
              <m:t>= Q</m:t>
            </m:r>
          </m:e>
          <m:sub>
            <m:r>
              <w:rPr>
                <w:rStyle w:val="Aucun"/>
                <w:rFonts w:ascii="Cambria Math" w:eastAsiaTheme="majorEastAsia" w:hAnsi="Cambria Math" w:cs="Calibri"/>
              </w:rPr>
              <m:t>1</m:t>
            </m:r>
          </m:sub>
        </m:sSub>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2</m:t>
                </m:r>
              </m:sub>
            </m:sSub>
          </m:e>
        </m:d>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2</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2</m:t>
            </m:r>
          </m:sub>
        </m:sSub>
        <m:r>
          <w:rPr>
            <w:rStyle w:val="Aucun"/>
            <w:rFonts w:ascii="Cambria Math" w:eastAsiaTheme="majorEastAsia" w:hAnsi="Cambria Math" w:cs="Calibri"/>
          </w:rPr>
          <m:t>)</m:t>
        </m:r>
      </m:oMath>
      <w:r w:rsidRPr="004A7417">
        <w:rPr>
          <w:rStyle w:val="Aucun"/>
          <w:rFonts w:ascii="Calibri" w:eastAsiaTheme="majorEastAsia" w:hAnsi="Calibri" w:cs="Calibri"/>
        </w:rPr>
        <w:t xml:space="preserve"> </w:t>
      </w:r>
    </w:p>
    <w:p w14:paraId="1FA0BDC6" w14:textId="77777777" w:rsidR="00CF0D2D" w:rsidRPr="004A7417" w:rsidRDefault="00CF0D2D" w:rsidP="00252E68">
      <w:pPr>
        <w:pStyle w:val="NormalWeb"/>
        <w:spacing w:before="0" w:beforeAutospacing="0" w:after="0" w:afterAutospacing="0"/>
        <w:jc w:val="both"/>
        <w:rPr>
          <w:rFonts w:ascii="Calibri" w:hAnsi="Calibri" w:cs="Calibri"/>
          <w:b/>
          <w:bCs/>
        </w:rPr>
      </w:pPr>
      <w:r w:rsidRPr="004A7417">
        <w:rPr>
          <w:rFonts w:ascii="Calibri" w:hAnsi="Calibri" w:cs="Calibri"/>
          <w:b/>
          <w:bCs/>
        </w:rPr>
        <w:t>La décarbonation due à la variation de l’émission unitaire</w:t>
      </w:r>
      <w:r w:rsidRPr="004A7417">
        <w:rPr>
          <w:rStyle w:val="Appelnotedebasdep"/>
          <w:rFonts w:ascii="Calibri" w:hAnsi="Calibri" w:cs="Calibri"/>
          <w:i/>
          <w:iCs/>
        </w:rPr>
        <w:footnoteReference w:id="5"/>
      </w:r>
      <w:r w:rsidRPr="004A7417">
        <w:rPr>
          <w:rFonts w:ascii="Calibri" w:hAnsi="Calibri" w:cs="Calibri"/>
          <w:b/>
          <w:bCs/>
        </w:rPr>
        <w:t xml:space="preserve"> </w:t>
      </w:r>
      <w:r w:rsidRPr="004A7417">
        <w:rPr>
          <w:rFonts w:ascii="Calibri" w:hAnsi="Calibri" w:cs="Calibri"/>
          <w:b/>
          <w:bCs/>
          <w:i/>
          <w:iCs/>
        </w:rPr>
        <w:t>Q</w:t>
      </w:r>
      <w:r w:rsidRPr="004A7417">
        <w:rPr>
          <w:rFonts w:ascii="Calibri" w:hAnsi="Calibri" w:cs="Calibri"/>
          <w:b/>
          <w:bCs/>
          <w:i/>
          <w:iCs/>
          <w:vertAlign w:val="subscript"/>
        </w:rPr>
        <w:t>1</w:t>
      </w:r>
      <w:r w:rsidRPr="004A7417">
        <w:rPr>
          <w:rFonts w:ascii="Calibri" w:hAnsi="Calibri" w:cs="Calibri"/>
          <w:b/>
          <w:bCs/>
        </w:rPr>
        <w:t>(</w:t>
      </w:r>
      <w:r w:rsidRPr="004A7417">
        <w:rPr>
          <w:rFonts w:ascii="Calibri" w:hAnsi="Calibri" w:cs="Calibri"/>
          <w:b/>
          <w:bCs/>
          <w:i/>
          <w:iCs/>
        </w:rPr>
        <w:t>p</w:t>
      </w:r>
      <w:r w:rsidRPr="004A7417">
        <w:rPr>
          <w:rFonts w:ascii="Calibri" w:hAnsi="Calibri" w:cs="Calibri"/>
          <w:b/>
          <w:bCs/>
          <w:i/>
          <w:iCs/>
          <w:vertAlign w:val="subscript"/>
        </w:rPr>
        <w:t>1</w:t>
      </w:r>
      <w:r w:rsidRPr="004A7417">
        <w:rPr>
          <w:rFonts w:ascii="Calibri" w:hAnsi="Calibri" w:cs="Calibri"/>
          <w:b/>
          <w:bCs/>
        </w:rPr>
        <w:t>-</w:t>
      </w:r>
      <w:r w:rsidRPr="004A7417">
        <w:rPr>
          <w:rFonts w:ascii="Calibri" w:hAnsi="Calibri" w:cs="Calibri"/>
          <w:b/>
          <w:bCs/>
          <w:i/>
          <w:iCs/>
        </w:rPr>
        <w:t>p</w:t>
      </w:r>
      <w:r w:rsidRPr="004A7417">
        <w:rPr>
          <w:rFonts w:ascii="Calibri" w:hAnsi="Calibri" w:cs="Calibri"/>
          <w:b/>
          <w:bCs/>
          <w:i/>
          <w:iCs/>
          <w:vertAlign w:val="subscript"/>
        </w:rPr>
        <w:t>2</w:t>
      </w:r>
      <w:r w:rsidRPr="004A7417">
        <w:rPr>
          <w:rFonts w:ascii="Calibri" w:hAnsi="Calibri" w:cs="Calibri"/>
          <w:b/>
          <w:bCs/>
        </w:rPr>
        <w:t>)</w:t>
      </w:r>
    </w:p>
    <w:p w14:paraId="749D0854" w14:textId="77777777" w:rsidR="00CF0D2D" w:rsidRPr="004A7417" w:rsidRDefault="00CF0D2D" w:rsidP="00252E68">
      <w:pPr>
        <w:pStyle w:val="NormalWeb"/>
        <w:spacing w:before="0" w:beforeAutospacing="0" w:after="0" w:afterAutospacing="0"/>
        <w:ind w:left="708"/>
        <w:jc w:val="both"/>
        <w:rPr>
          <w:rStyle w:val="Aucun"/>
          <w:rFonts w:ascii="Calibri" w:eastAsiaTheme="majorEastAsia" w:hAnsi="Calibri" w:cs="Calibri"/>
          <w:i/>
          <w:iCs/>
        </w:rPr>
      </w:pPr>
      <w:r w:rsidRPr="004A7417">
        <w:rPr>
          <w:rStyle w:val="Aucun"/>
          <w:rFonts w:ascii="Calibri" w:eastAsiaTheme="majorEastAsia" w:hAnsi="Calibri" w:cs="Calibri"/>
        </w:rPr>
        <w:t xml:space="preserve">Si </w:t>
      </w: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i2</m:t>
            </m:r>
          </m:sub>
        </m:sSub>
      </m:oMath>
      <w:r w:rsidRPr="004A7417">
        <w:rPr>
          <w:rStyle w:val="Aucun"/>
          <w:rFonts w:ascii="Calibri" w:eastAsiaTheme="majorEastAsia" w:hAnsi="Calibri" w:cs="Calibri"/>
        </w:rPr>
        <w:t xml:space="preserve"> et </w:t>
      </w: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i2</m:t>
            </m:r>
          </m:sub>
        </m:sSub>
      </m:oMath>
      <w:r w:rsidRPr="004A7417">
        <w:rPr>
          <w:rStyle w:val="Aucun"/>
          <w:rFonts w:ascii="Calibri" w:eastAsiaTheme="majorEastAsia" w:hAnsi="Calibri" w:cs="Calibri"/>
        </w:rPr>
        <w:t xml:space="preserve"> sont les quantités et émissions unitaires de l’intrant i nécessaire pour produire une unité l’année 2, on a :</w:t>
      </w:r>
    </w:p>
    <w:p w14:paraId="47556F95" w14:textId="77777777" w:rsidR="00CF0D2D" w:rsidRPr="004A7417" w:rsidRDefault="00000000" w:rsidP="00252E68">
      <w:pPr>
        <w:pStyle w:val="NormalWeb"/>
        <w:spacing w:before="0" w:beforeAutospacing="0" w:after="0" w:afterAutospacing="0"/>
        <w:ind w:left="708"/>
        <w:jc w:val="both"/>
        <w:rPr>
          <w:rStyle w:val="Aucun"/>
          <w:rFonts w:ascii="Calibri" w:eastAsiaTheme="majorEastAsia" w:hAnsi="Calibri" w:cs="Calibri"/>
          <w:i/>
          <w:iCs/>
        </w:rPr>
      </w:pPr>
      <m:oMathPara>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2</m:t>
                  </m:r>
                </m:sub>
              </m:sSub>
            </m:e>
          </m:d>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nary>
            <m:naryPr>
              <m:chr m:val="∑"/>
              <m:limLoc m:val="undOvr"/>
              <m:supHide m:val="1"/>
              <m:ctrlPr>
                <w:rPr>
                  <w:rStyle w:val="Aucun"/>
                  <w:rFonts w:ascii="Cambria Math" w:eastAsiaTheme="majorEastAsia" w:hAnsi="Cambria Math" w:cs="Calibri"/>
                  <w:i/>
                  <w:iCs/>
                </w:rPr>
              </m:ctrlPr>
            </m:naryPr>
            <m:sub>
              <m:r>
                <w:rPr>
                  <w:rStyle w:val="Aucun"/>
                  <w:rFonts w:ascii="Cambria Math" w:eastAsiaTheme="majorEastAsia" w:hAnsi="Cambria Math" w:cs="Calibri"/>
                </w:rPr>
                <m:t>i</m:t>
              </m:r>
            </m:sub>
            <m:sup/>
            <m:e>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i2</m:t>
                      </m:r>
                    </m:sub>
                  </m:sSub>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i2</m:t>
                      </m:r>
                    </m:sub>
                  </m:sSub>
                </m:e>
              </m:d>
              <m:r>
                <w:rPr>
                  <w:rStyle w:val="Aucun"/>
                  <w:rFonts w:ascii="Cambria Math" w:eastAsiaTheme="majorEastAsia" w:hAnsi="Cambria Math" w:cs="Calibri"/>
                </w:rPr>
                <m:t>=</m:t>
              </m:r>
              <w:bookmarkStart w:id="1" w:name="_Hlk149667572"/>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nary>
                <m:naryPr>
                  <m:chr m:val="∑"/>
                  <m:limLoc m:val="subSup"/>
                  <m:supHide m:val="1"/>
                  <m:ctrlPr>
                    <w:rPr>
                      <w:rStyle w:val="Aucun"/>
                      <w:rFonts w:ascii="Cambria Math" w:eastAsiaTheme="majorEastAsia" w:hAnsi="Cambria Math" w:cs="Calibri"/>
                      <w:i/>
                      <w:iCs/>
                    </w:rPr>
                  </m:ctrlPr>
                </m:naryPr>
                <m:sub>
                  <m:r>
                    <w:rPr>
                      <w:rStyle w:val="Aucun"/>
                      <w:rFonts w:ascii="Cambria Math" w:eastAsiaTheme="majorEastAsia" w:hAnsi="Cambria Math" w:cs="Calibri"/>
                    </w:rPr>
                    <m:t>i</m:t>
                  </m:r>
                </m:sub>
                <m:sup/>
                <m:e>
                  <m:d>
                    <m:dPr>
                      <m:begChr m:val="["/>
                      <m:endChr m:val="]"/>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i2</m:t>
                              </m:r>
                            </m:sub>
                          </m:sSub>
                        </m:e>
                      </m:d>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i2</m:t>
                          </m:r>
                        </m:sub>
                      </m:sSub>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i2</m:t>
                              </m:r>
                            </m:sub>
                          </m:sSub>
                        </m:e>
                      </m:d>
                    </m:e>
                  </m:d>
                </m:e>
              </m:nary>
              <w:bookmarkEnd w:id="1"/>
            </m:e>
          </m:nary>
        </m:oMath>
      </m:oMathPara>
    </w:p>
    <w:p w14:paraId="33A684B7" w14:textId="0DC9C32C" w:rsidR="00CF0D2D" w:rsidRPr="004A7417" w:rsidRDefault="00CF0D2D" w:rsidP="00252E68">
      <w:pPr>
        <w:pStyle w:val="NormalWeb"/>
        <w:spacing w:before="0" w:beforeAutospacing="0" w:after="0" w:afterAutospacing="0"/>
        <w:ind w:left="708"/>
        <w:jc w:val="both"/>
        <w:rPr>
          <w:rFonts w:ascii="Calibri" w:hAnsi="Calibri" w:cs="Calibri"/>
          <w:i/>
          <w:iCs/>
        </w:rPr>
      </w:pPr>
      <w:r w:rsidRPr="004A7417">
        <w:rPr>
          <w:rStyle w:val="Aucun"/>
          <w:rFonts w:ascii="Calibri" w:eastAsiaTheme="majorEastAsia" w:hAnsi="Calibri" w:cs="Calibri"/>
        </w:rPr>
        <w:t xml:space="preserve">La contribution </w:t>
      </w:r>
      <w:r w:rsidR="001247E0" w:rsidRPr="004A7417">
        <w:rPr>
          <w:rStyle w:val="Aucun"/>
          <w:rFonts w:ascii="Calibri" w:eastAsiaTheme="majorEastAsia" w:hAnsi="Calibri" w:cs="Calibri"/>
        </w:rPr>
        <w:t xml:space="preserve">attribuée aux </w:t>
      </w:r>
      <w:r w:rsidRPr="004A7417">
        <w:rPr>
          <w:rStyle w:val="Aucun"/>
          <w:rFonts w:ascii="Calibri" w:eastAsiaTheme="majorEastAsia" w:hAnsi="Calibri" w:cs="Calibri"/>
        </w:rPr>
        <w:t xml:space="preserve">chaines de fournisseurs en amont est le terme : </w:t>
      </w: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nary>
          <m:naryPr>
            <m:chr m:val="∑"/>
            <m:limLoc m:val="subSup"/>
            <m:supHide m:val="1"/>
            <m:ctrlPr>
              <w:rPr>
                <w:rStyle w:val="Aucun"/>
                <w:rFonts w:ascii="Cambria Math" w:eastAsiaTheme="majorEastAsia" w:hAnsi="Cambria Math" w:cs="Calibri"/>
                <w:i/>
                <w:iCs/>
              </w:rPr>
            </m:ctrlPr>
          </m:naryPr>
          <m:sub>
            <m:r>
              <w:rPr>
                <w:rStyle w:val="Aucun"/>
                <w:rFonts w:ascii="Cambria Math" w:eastAsiaTheme="majorEastAsia" w:hAnsi="Cambria Math" w:cs="Calibri"/>
              </w:rPr>
              <m:t>i</m:t>
            </m:r>
          </m:sub>
          <m:sup/>
          <m:e>
            <m:d>
              <m:dPr>
                <m:begChr m:val="["/>
                <m:endChr m:val="]"/>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i2</m:t>
                    </m:r>
                  </m:sub>
                </m:sSub>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i2</m:t>
                        </m:r>
                      </m:sub>
                    </m:sSub>
                  </m:e>
                </m:d>
              </m:e>
            </m:d>
          </m:e>
        </m:nary>
      </m:oMath>
      <w:r w:rsidRPr="004A7417">
        <w:rPr>
          <w:rStyle w:val="Aucun"/>
          <w:rFonts w:ascii="Calibri" w:eastAsiaTheme="majorEastAsia" w:hAnsi="Calibri" w:cs="Calibri"/>
        </w:rPr>
        <w:t xml:space="preserve"> . On obtient la décarbonation de l’entreprise :</w:t>
      </w:r>
    </w:p>
    <w:bookmarkStart w:id="2" w:name="_Hlk149052880"/>
    <w:p w14:paraId="163E354D" w14:textId="77777777" w:rsidR="00CF0D2D" w:rsidRPr="004A7417" w:rsidRDefault="00000000" w:rsidP="00252E68">
      <w:pPr>
        <w:pStyle w:val="NormalWeb"/>
        <w:spacing w:before="0" w:beforeAutospacing="0" w:after="0" w:afterAutospacing="0"/>
        <w:ind w:left="708"/>
        <w:jc w:val="both"/>
        <w:rPr>
          <w:rStyle w:val="Aucun"/>
          <w:rFonts w:ascii="Calibri" w:eastAsiaTheme="majorEastAsia" w:hAnsi="Calibri" w:cs="Calibri"/>
          <w:i/>
          <w:iCs/>
        </w:rPr>
      </w:pPr>
      <m:oMath>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nary>
          <m:naryPr>
            <m:chr m:val="∑"/>
            <m:limLoc m:val="undOvr"/>
            <m:supHide m:val="1"/>
            <m:ctrlPr>
              <w:rPr>
                <w:rStyle w:val="Aucun"/>
                <w:rFonts w:ascii="Cambria Math" w:eastAsiaTheme="majorEastAsia" w:hAnsi="Cambria Math" w:cs="Calibri"/>
                <w:i/>
                <w:iCs/>
              </w:rPr>
            </m:ctrlPr>
          </m:naryPr>
          <m:sub>
            <m:r>
              <w:rPr>
                <w:rStyle w:val="Aucun"/>
                <w:rFonts w:ascii="Cambria Math" w:eastAsiaTheme="majorEastAsia" w:hAnsi="Cambria Math" w:cs="Calibri"/>
              </w:rPr>
              <m:t>i</m:t>
            </m:r>
          </m:sub>
          <m:sup/>
          <m:e>
            <w:bookmarkStart w:id="3" w:name="_Hlk149035598"/>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i2</m:t>
                    </m:r>
                  </m:sub>
                </m:sSub>
              </m:e>
            </m:d>
            <w:bookmarkEnd w:id="3"/>
            <m:r>
              <w:rPr>
                <w:rStyle w:val="Aucun"/>
                <w:rFonts w:ascii="Cambria Math" w:eastAsiaTheme="majorEastAsia" w:hAnsi="Cambria Math" w:cs="Calibri"/>
              </w:rPr>
              <m:t xml:space="preserve">= </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nary>
              <m:naryPr>
                <m:chr m:val="∑"/>
                <m:limLoc m:val="undOvr"/>
                <m:supHide m:val="1"/>
                <m:ctrlPr>
                  <w:rPr>
                    <w:rStyle w:val="Aucun"/>
                    <w:rFonts w:ascii="Cambria Math" w:eastAsiaTheme="majorEastAsia" w:hAnsi="Cambria Math" w:cs="Calibri"/>
                    <w:i/>
                    <w:iCs/>
                  </w:rPr>
                </m:ctrlPr>
              </m:naryPr>
              <m:sub>
                <m:r>
                  <w:rPr>
                    <w:rStyle w:val="Aucun"/>
                    <w:rFonts w:ascii="Cambria Math" w:eastAsiaTheme="majorEastAsia" w:hAnsi="Cambria Math" w:cs="Calibri"/>
                  </w:rPr>
                  <m:t>i</m:t>
                </m:r>
              </m:sub>
              <m:sup/>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i1</m:t>
                    </m:r>
                  </m:sub>
                </m:sSub>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k</m:t>
                    </m:r>
                  </m:e>
                  <m:sub>
                    <m:r>
                      <w:rPr>
                        <w:rStyle w:val="Aucun"/>
                        <w:rFonts w:ascii="Cambria Math" w:eastAsiaTheme="majorEastAsia" w:hAnsi="Cambria Math" w:cs="Calibri"/>
                      </w:rPr>
                      <m:t>i2</m:t>
                    </m:r>
                  </m:sub>
                </m:sSub>
              </m:e>
            </m:nary>
          </m:e>
        </m:nary>
      </m:oMath>
      <w:bookmarkStart w:id="4" w:name="_Hlk148985692"/>
      <w:bookmarkEnd w:id="2"/>
      <w:r w:rsidR="00CF0D2D" w:rsidRPr="004A7417">
        <w:rPr>
          <w:rStyle w:val="Aucun"/>
          <w:rFonts w:ascii="Calibri" w:eastAsiaTheme="majorEastAsia" w:hAnsi="Calibri" w:cs="Calibri"/>
        </w:rPr>
        <w:t xml:space="preserve"> </w:t>
      </w:r>
      <w:bookmarkEnd w:id="4"/>
      <w:r w:rsidR="00CF0D2D" w:rsidRPr="004A7417">
        <w:rPr>
          <w:rStyle w:val="Aucun"/>
          <w:rFonts w:ascii="Calibri" w:eastAsiaTheme="majorEastAsia" w:hAnsi="Calibri" w:cs="Calibri"/>
        </w:rPr>
        <w:t xml:space="preserve">  </w:t>
      </w:r>
    </w:p>
    <w:p w14:paraId="6B8F9620" w14:textId="77777777" w:rsidR="00CF0D2D" w:rsidRPr="004A7417" w:rsidRDefault="00CF0D2D" w:rsidP="00252E68">
      <w:pPr>
        <w:pStyle w:val="NormalWeb"/>
        <w:spacing w:before="0" w:beforeAutospacing="0" w:after="0" w:afterAutospacing="0"/>
        <w:ind w:left="708"/>
        <w:jc w:val="both"/>
        <w:rPr>
          <w:rStyle w:val="lev"/>
          <w:rFonts w:ascii="Calibri" w:eastAsia="Arial" w:hAnsi="Calibri" w:cs="Calibri"/>
        </w:rPr>
      </w:pPr>
    </w:p>
    <w:p w14:paraId="7E7F2A94" w14:textId="77777777" w:rsidR="00CF0D2D" w:rsidRPr="004A7417" w:rsidRDefault="00CF0D2D" w:rsidP="00252E68">
      <w:pPr>
        <w:pStyle w:val="NormalWeb"/>
        <w:spacing w:before="0" w:beforeAutospacing="0" w:after="0" w:afterAutospacing="0"/>
        <w:jc w:val="both"/>
        <w:rPr>
          <w:rFonts w:ascii="Calibri" w:hAnsi="Calibri" w:cs="Calibri"/>
          <w:b/>
          <w:bCs/>
        </w:rPr>
      </w:pPr>
      <w:r w:rsidRPr="004A7417">
        <w:rPr>
          <w:rFonts w:ascii="Calibri" w:hAnsi="Calibri" w:cs="Calibri"/>
          <w:b/>
          <w:bCs/>
        </w:rPr>
        <w:t xml:space="preserve">La décarbonation liée à la variation des quantités vendue </w:t>
      </w:r>
      <w:r w:rsidRPr="004A7417">
        <w:rPr>
          <w:rFonts w:ascii="Calibri" w:hAnsi="Calibri" w:cs="Calibri"/>
          <w:b/>
          <w:bCs/>
          <w:i/>
          <w:iCs/>
        </w:rPr>
        <w:t>p</w:t>
      </w:r>
      <w:r w:rsidRPr="004A7417">
        <w:rPr>
          <w:rFonts w:ascii="Calibri" w:hAnsi="Calibri" w:cs="Calibri"/>
          <w:b/>
          <w:bCs/>
          <w:vertAlign w:val="subscript"/>
        </w:rPr>
        <w:t>2</w:t>
      </w:r>
      <w:r w:rsidRPr="004A7417">
        <w:rPr>
          <w:rFonts w:ascii="Calibri" w:hAnsi="Calibri" w:cs="Calibri"/>
          <w:b/>
          <w:bCs/>
        </w:rPr>
        <w:t>(</w:t>
      </w:r>
      <w:r w:rsidRPr="004A7417">
        <w:rPr>
          <w:rFonts w:ascii="Calibri" w:hAnsi="Calibri" w:cs="Calibri"/>
          <w:b/>
          <w:bCs/>
          <w:i/>
          <w:iCs/>
        </w:rPr>
        <w:t>Q</w:t>
      </w:r>
      <w:r w:rsidRPr="004A7417">
        <w:rPr>
          <w:rFonts w:ascii="Calibri" w:hAnsi="Calibri" w:cs="Calibri"/>
          <w:b/>
          <w:bCs/>
          <w:i/>
          <w:iCs/>
          <w:vertAlign w:val="subscript"/>
        </w:rPr>
        <w:t>1</w:t>
      </w:r>
      <w:r w:rsidRPr="004A7417">
        <w:rPr>
          <w:rFonts w:ascii="Calibri" w:hAnsi="Calibri" w:cs="Calibri"/>
          <w:b/>
          <w:bCs/>
        </w:rPr>
        <w:t>-</w:t>
      </w:r>
      <w:r w:rsidRPr="004A7417">
        <w:rPr>
          <w:rFonts w:ascii="Calibri" w:hAnsi="Calibri" w:cs="Calibri"/>
          <w:b/>
          <w:bCs/>
          <w:i/>
          <w:iCs/>
        </w:rPr>
        <w:t>Q</w:t>
      </w:r>
      <w:r w:rsidRPr="004A7417">
        <w:rPr>
          <w:rFonts w:ascii="Calibri" w:hAnsi="Calibri" w:cs="Calibri"/>
          <w:b/>
          <w:bCs/>
          <w:i/>
          <w:iCs/>
          <w:vertAlign w:val="subscript"/>
        </w:rPr>
        <w:t>2</w:t>
      </w:r>
      <w:r w:rsidRPr="004A7417">
        <w:rPr>
          <w:rFonts w:ascii="Calibri" w:hAnsi="Calibri" w:cs="Calibri"/>
          <w:b/>
          <w:bCs/>
        </w:rPr>
        <w:t>)</w:t>
      </w:r>
    </w:p>
    <w:p w14:paraId="6F9171C3" w14:textId="55A2A434" w:rsidR="00CF0D2D" w:rsidRPr="004A7417" w:rsidRDefault="00CF0D2D" w:rsidP="00252E68">
      <w:pPr>
        <w:pStyle w:val="NormalWeb"/>
        <w:spacing w:before="0" w:beforeAutospacing="0" w:after="0" w:afterAutospacing="0"/>
        <w:jc w:val="both"/>
        <w:rPr>
          <w:rFonts w:ascii="Calibri" w:hAnsi="Calibri" w:cs="Calibri"/>
        </w:rPr>
      </w:pPr>
      <w:r w:rsidRPr="004A7417">
        <w:rPr>
          <w:rFonts w:ascii="Calibri" w:hAnsi="Calibri" w:cs="Calibri"/>
        </w:rPr>
        <w:t>Elle est attribuée aux clients</w:t>
      </w:r>
      <w:r w:rsidR="001247E0" w:rsidRPr="004A7417">
        <w:rPr>
          <w:rFonts w:ascii="Calibri" w:hAnsi="Calibri" w:cs="Calibri"/>
        </w:rPr>
        <w:t xml:space="preserve">. Une partie de cette contribution dite effet de substitution est directement influencée par l’action de l’entreprise pour développer ses offres les plus performantes en carbone et réduire les autres. </w:t>
      </w:r>
    </w:p>
    <w:p w14:paraId="39C64BBD" w14:textId="47D34B4C" w:rsidR="00CF0D2D" w:rsidRPr="004A7417" w:rsidRDefault="00CF0D2D" w:rsidP="00252E68">
      <w:pPr>
        <w:pStyle w:val="NormalWeb"/>
        <w:spacing w:before="0" w:beforeAutospacing="0" w:after="0" w:afterAutospacing="0"/>
        <w:ind w:left="708"/>
        <w:jc w:val="both"/>
        <w:rPr>
          <w:rFonts w:ascii="Calibri" w:hAnsi="Calibri" w:cs="Calibri"/>
          <w:i/>
          <w:iCs/>
        </w:rPr>
      </w:pPr>
      <w:r w:rsidRPr="004A7417">
        <w:rPr>
          <w:rStyle w:val="Aucun"/>
          <w:rFonts w:ascii="Calibri" w:eastAsiaTheme="majorEastAsia" w:hAnsi="Calibri" w:cs="Calibri"/>
        </w:rPr>
        <w:t xml:space="preserve">Si </w:t>
      </w:r>
      <m:oMath>
        <m:acc>
          <m:accPr>
            <m:chr m:val="̅"/>
            <m:ctrlPr>
              <w:rPr>
                <w:rStyle w:val="Aucun"/>
                <w:rFonts w:ascii="Cambria Math" w:eastAsiaTheme="majorEastAsia" w:hAnsi="Cambria Math" w:cs="Calibri"/>
                <w:i/>
                <w:iCs/>
              </w:rPr>
            </m:ctrlPr>
          </m:acc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2</m:t>
                </m:r>
              </m:sub>
            </m:sSub>
          </m:e>
        </m:acc>
      </m:oMath>
      <w:r w:rsidRPr="004A7417">
        <w:rPr>
          <w:rStyle w:val="Aucun"/>
          <w:rFonts w:ascii="Calibri" w:eastAsiaTheme="majorEastAsia" w:hAnsi="Calibri" w:cs="Calibri"/>
        </w:rPr>
        <w:t xml:space="preserve"> est l’émission unitaire moyenne du marché l’année 2, l</w:t>
      </w:r>
      <w:r w:rsidR="008C2E8F" w:rsidRPr="004A7417">
        <w:rPr>
          <w:rStyle w:val="Aucun"/>
          <w:rFonts w:ascii="Calibri" w:eastAsiaTheme="majorEastAsia" w:hAnsi="Calibri" w:cs="Calibri"/>
        </w:rPr>
        <w:t xml:space="preserve">’effet de substitution </w:t>
      </w:r>
      <w:r w:rsidRPr="004A7417">
        <w:rPr>
          <w:rStyle w:val="Aucun"/>
          <w:rFonts w:ascii="Calibri" w:eastAsiaTheme="majorEastAsia" w:hAnsi="Calibri" w:cs="Calibri"/>
        </w:rPr>
        <w:t xml:space="preserve">est : </w:t>
      </w:r>
      <m:oMath>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2</m:t>
                </m:r>
              </m:sub>
            </m:sSub>
            <m:r>
              <w:rPr>
                <w:rStyle w:val="Aucun"/>
                <w:rFonts w:ascii="Cambria Math" w:eastAsiaTheme="majorEastAsia" w:hAnsi="Cambria Math" w:cs="Calibri"/>
              </w:rPr>
              <m:t>-</m:t>
            </m:r>
            <m:acc>
              <m:accPr>
                <m:chr m:val="̅"/>
                <m:ctrlPr>
                  <w:rPr>
                    <w:rStyle w:val="Aucun"/>
                    <w:rFonts w:ascii="Cambria Math" w:eastAsiaTheme="majorEastAsia" w:hAnsi="Cambria Math" w:cs="Calibri"/>
                    <w:i/>
                    <w:iCs/>
                  </w:rPr>
                </m:ctrlPr>
              </m:acc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p</m:t>
                    </m:r>
                  </m:e>
                  <m:sub>
                    <m:r>
                      <w:rPr>
                        <w:rStyle w:val="Aucun"/>
                        <w:rFonts w:ascii="Cambria Math" w:eastAsiaTheme="majorEastAsia" w:hAnsi="Cambria Math" w:cs="Calibri"/>
                      </w:rPr>
                      <m:t>2</m:t>
                    </m:r>
                  </m:sub>
                </m:sSub>
              </m:e>
            </m:acc>
          </m:e>
        </m:d>
        <m:r>
          <w:rPr>
            <w:rStyle w:val="Aucun"/>
            <w:rFonts w:ascii="Cambria Math" w:eastAsiaTheme="majorEastAsia" w:hAnsi="Cambria Math" w:cs="Calibri"/>
          </w:rPr>
          <m:t>.</m:t>
        </m:r>
        <m:d>
          <m:dPr>
            <m:ctrlPr>
              <w:rPr>
                <w:rStyle w:val="Aucun"/>
                <w:rFonts w:ascii="Cambria Math" w:eastAsiaTheme="majorEastAsia" w:hAnsi="Cambria Math" w:cs="Calibri"/>
                <w:i/>
                <w:iCs/>
              </w:rPr>
            </m:ctrlPr>
          </m:dPr>
          <m:e>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1</m:t>
                </m:r>
              </m:sub>
            </m:sSub>
            <m:r>
              <w:rPr>
                <w:rStyle w:val="Aucun"/>
                <w:rFonts w:ascii="Cambria Math" w:eastAsiaTheme="majorEastAsia" w:hAnsi="Cambria Math" w:cs="Calibri"/>
              </w:rPr>
              <m:t>-</m:t>
            </m:r>
            <m:sSub>
              <m:sSubPr>
                <m:ctrlPr>
                  <w:rPr>
                    <w:rStyle w:val="Aucun"/>
                    <w:rFonts w:ascii="Cambria Math" w:eastAsiaTheme="majorEastAsia" w:hAnsi="Cambria Math" w:cs="Calibri"/>
                    <w:i/>
                    <w:iCs/>
                  </w:rPr>
                </m:ctrlPr>
              </m:sSubPr>
              <m:e>
                <m:r>
                  <w:rPr>
                    <w:rStyle w:val="Aucun"/>
                    <w:rFonts w:ascii="Cambria Math" w:eastAsiaTheme="majorEastAsia" w:hAnsi="Cambria Math" w:cs="Calibri"/>
                  </w:rPr>
                  <m:t>Q</m:t>
                </m:r>
              </m:e>
              <m:sub>
                <m:r>
                  <w:rPr>
                    <w:rStyle w:val="Aucun"/>
                    <w:rFonts w:ascii="Cambria Math" w:eastAsiaTheme="majorEastAsia" w:hAnsi="Cambria Math" w:cs="Calibri"/>
                  </w:rPr>
                  <m:t>2</m:t>
                </m:r>
              </m:sub>
            </m:sSub>
          </m:e>
        </m:d>
        <m:r>
          <w:rPr>
            <w:rStyle w:val="Aucun"/>
            <w:rFonts w:ascii="Cambria Math" w:eastAsiaTheme="majorEastAsia" w:hAnsi="Cambria Math" w:cs="Calibri"/>
            <w:bdr w:val="single" w:sz="4" w:space="0" w:color="auto"/>
          </w:rPr>
          <m:t xml:space="preserve"> </m:t>
        </m:r>
      </m:oMath>
    </w:p>
    <w:p w14:paraId="3160FB5C" w14:textId="77777777" w:rsidR="008C2E8F" w:rsidRPr="004A7417" w:rsidRDefault="008C2E8F" w:rsidP="00252E68">
      <w:pPr>
        <w:pStyle w:val="NormalWeb"/>
        <w:jc w:val="both"/>
        <w:rPr>
          <w:rFonts w:ascii="Calibri" w:hAnsi="Calibri" w:cs="Calibri"/>
        </w:rPr>
      </w:pPr>
      <w:bookmarkStart w:id="5" w:name="_Hlk180667105"/>
      <w:r w:rsidRPr="004A7417">
        <w:rPr>
          <w:rFonts w:ascii="Calibri" w:hAnsi="Calibri" w:cs="Calibri"/>
        </w:rPr>
        <w:t>On vérifie que le signe de l’effet de substitution varie à la fois selon que l’entreprise augmente ou diminue ses ventes, et selon que son émission moyenne est au-dessus ou au-dessous de celle du marché.</w:t>
      </w:r>
    </w:p>
    <w:bookmarkEnd w:id="5"/>
    <w:p w14:paraId="65919829" w14:textId="77777777" w:rsidR="00CF0D2D" w:rsidRPr="004A7417" w:rsidRDefault="00CF0D2D" w:rsidP="00252E68">
      <w:pPr>
        <w:pStyle w:val="NormalWeb"/>
        <w:spacing w:before="0" w:beforeAutospacing="0"/>
        <w:jc w:val="both"/>
        <w:rPr>
          <w:rFonts w:ascii="Calibri" w:hAnsi="Calibri" w:cs="Calibri"/>
        </w:rPr>
      </w:pPr>
    </w:p>
    <w:sectPr w:rsidR="00CF0D2D" w:rsidRPr="004A74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F2D05" w14:textId="77777777" w:rsidR="00193D93" w:rsidRDefault="00193D93" w:rsidP="006554F2">
      <w:pPr>
        <w:spacing w:after="0" w:line="240" w:lineRule="auto"/>
      </w:pPr>
      <w:r>
        <w:separator/>
      </w:r>
    </w:p>
  </w:endnote>
  <w:endnote w:type="continuationSeparator" w:id="0">
    <w:p w14:paraId="366CEDE1" w14:textId="77777777" w:rsidR="00193D93" w:rsidRDefault="00193D93" w:rsidP="0065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3BD3" w14:textId="77777777" w:rsidR="00193D93" w:rsidRDefault="00193D93" w:rsidP="006554F2">
      <w:pPr>
        <w:spacing w:after="0" w:line="240" w:lineRule="auto"/>
      </w:pPr>
      <w:r>
        <w:separator/>
      </w:r>
    </w:p>
  </w:footnote>
  <w:footnote w:type="continuationSeparator" w:id="0">
    <w:p w14:paraId="7B0AEA45" w14:textId="77777777" w:rsidR="00193D93" w:rsidRDefault="00193D93" w:rsidP="006554F2">
      <w:pPr>
        <w:spacing w:after="0" w:line="240" w:lineRule="auto"/>
      </w:pPr>
      <w:r>
        <w:continuationSeparator/>
      </w:r>
    </w:p>
  </w:footnote>
  <w:footnote w:id="1">
    <w:p w14:paraId="2E35536A" w14:textId="77777777" w:rsidR="0041577C" w:rsidRPr="007606BF" w:rsidRDefault="0041577C" w:rsidP="0041577C">
      <w:pPr>
        <w:pStyle w:val="Notedebasdepage"/>
        <w:rPr>
          <w:rFonts w:ascii="Calibri" w:hAnsi="Calibri" w:cs="Calibri"/>
          <w:sz w:val="22"/>
          <w:szCs w:val="22"/>
        </w:rPr>
      </w:pPr>
      <w:r w:rsidRPr="007606BF">
        <w:rPr>
          <w:rStyle w:val="Appelnotedebasdep"/>
          <w:rFonts w:ascii="Calibri" w:hAnsi="Calibri" w:cs="Calibri"/>
          <w:sz w:val="22"/>
          <w:szCs w:val="22"/>
        </w:rPr>
        <w:footnoteRef/>
      </w:r>
      <w:r w:rsidRPr="007606BF">
        <w:rPr>
          <w:rFonts w:ascii="Calibri" w:hAnsi="Calibri" w:cs="Calibri"/>
          <w:sz w:val="22"/>
          <w:szCs w:val="22"/>
        </w:rPr>
        <w:t xml:space="preserve"> </w:t>
      </w:r>
      <w:r>
        <w:rPr>
          <w:rFonts w:ascii="Calibri" w:hAnsi="Calibri" w:cs="Calibri"/>
          <w:sz w:val="22"/>
          <w:szCs w:val="22"/>
        </w:rPr>
        <w:t xml:space="preserve">Ces émissions ajoutées correspondent au </w:t>
      </w:r>
      <w:r w:rsidRPr="007606BF">
        <w:rPr>
          <w:rFonts w:ascii="Calibri" w:hAnsi="Calibri" w:cs="Calibri"/>
          <w:color w:val="000000" w:themeColor="text1"/>
          <w:sz w:val="22"/>
          <w:szCs w:val="22"/>
        </w:rPr>
        <w:t xml:space="preserve">scope 1 </w:t>
      </w:r>
      <w:proofErr w:type="gramStart"/>
      <w:r w:rsidRPr="007606BF">
        <w:rPr>
          <w:rFonts w:ascii="Calibri" w:hAnsi="Calibri" w:cs="Calibri"/>
          <w:color w:val="000000" w:themeColor="text1"/>
          <w:sz w:val="22"/>
          <w:szCs w:val="22"/>
        </w:rPr>
        <w:t>des protocoles carbone</w:t>
      </w:r>
      <w:proofErr w:type="gramEnd"/>
      <w:r>
        <w:rPr>
          <w:rFonts w:ascii="Calibri" w:hAnsi="Calibri" w:cs="Calibri"/>
          <w:color w:val="000000" w:themeColor="text1"/>
          <w:sz w:val="22"/>
          <w:szCs w:val="22"/>
        </w:rPr>
        <w:t xml:space="preserve"> et aux</w:t>
      </w:r>
      <w:r w:rsidRPr="007606BF">
        <w:rPr>
          <w:rFonts w:ascii="Calibri" w:hAnsi="Calibri" w:cs="Calibri"/>
          <w:color w:val="000000" w:themeColor="text1"/>
          <w:sz w:val="22"/>
          <w:szCs w:val="22"/>
        </w:rPr>
        <w:t xml:space="preserve"> émissions directes du standard E-liability</w:t>
      </w:r>
      <w:r>
        <w:rPr>
          <w:rFonts w:ascii="Calibri" w:hAnsi="Calibri" w:cs="Calibri"/>
          <w:color w:val="000000" w:themeColor="text1"/>
          <w:sz w:val="22"/>
          <w:szCs w:val="22"/>
        </w:rPr>
        <w:t>.</w:t>
      </w:r>
    </w:p>
  </w:footnote>
  <w:footnote w:id="2">
    <w:p w14:paraId="103E6597" w14:textId="33390662" w:rsidR="00711FD0" w:rsidRPr="007606BF" w:rsidRDefault="00711FD0" w:rsidP="00711FD0">
      <w:pPr>
        <w:pStyle w:val="Notedebasdepage"/>
        <w:rPr>
          <w:rFonts w:ascii="Calibri" w:hAnsi="Calibri" w:cs="Calibri"/>
          <w:sz w:val="22"/>
          <w:szCs w:val="22"/>
        </w:rPr>
      </w:pPr>
      <w:r w:rsidRPr="007606BF">
        <w:rPr>
          <w:rStyle w:val="Appelnotedebasdep"/>
          <w:rFonts w:ascii="Calibri" w:hAnsi="Calibri" w:cs="Calibri"/>
          <w:sz w:val="22"/>
          <w:szCs w:val="22"/>
        </w:rPr>
        <w:footnoteRef/>
      </w:r>
      <w:r w:rsidRPr="007606BF">
        <w:rPr>
          <w:rFonts w:ascii="Calibri" w:hAnsi="Calibri" w:cs="Calibri"/>
          <w:sz w:val="22"/>
          <w:szCs w:val="22"/>
        </w:rPr>
        <w:t xml:space="preserve"> </w:t>
      </w:r>
      <w:r w:rsidR="00DA6EC1">
        <w:rPr>
          <w:rFonts w:ascii="Calibri" w:hAnsi="Calibri" w:cs="Calibri"/>
          <w:sz w:val="22"/>
          <w:szCs w:val="22"/>
        </w:rPr>
        <w:t xml:space="preserve">Les émissions des achats </w:t>
      </w:r>
      <w:r w:rsidR="00DA6EC1">
        <w:rPr>
          <w:rFonts w:ascii="Calibri" w:hAnsi="Calibri" w:cs="Calibri"/>
          <w:color w:val="000000" w:themeColor="text1"/>
          <w:sz w:val="22"/>
          <w:szCs w:val="22"/>
        </w:rPr>
        <w:t>c</w:t>
      </w:r>
      <w:r>
        <w:rPr>
          <w:rFonts w:ascii="Calibri" w:hAnsi="Calibri" w:cs="Calibri"/>
          <w:color w:val="000000" w:themeColor="text1"/>
          <w:sz w:val="22"/>
          <w:szCs w:val="22"/>
        </w:rPr>
        <w:t>orrespond</w:t>
      </w:r>
      <w:r w:rsidR="00DA6EC1">
        <w:rPr>
          <w:rFonts w:ascii="Calibri" w:hAnsi="Calibri" w:cs="Calibri"/>
          <w:color w:val="000000" w:themeColor="text1"/>
          <w:sz w:val="22"/>
          <w:szCs w:val="22"/>
        </w:rPr>
        <w:t>ent</w:t>
      </w:r>
      <w:r>
        <w:rPr>
          <w:rFonts w:ascii="Calibri" w:hAnsi="Calibri" w:cs="Calibri"/>
          <w:color w:val="000000" w:themeColor="text1"/>
          <w:sz w:val="22"/>
          <w:szCs w:val="22"/>
        </w:rPr>
        <w:t xml:space="preserve"> aux s</w:t>
      </w:r>
      <w:r w:rsidRPr="007606BF">
        <w:rPr>
          <w:rFonts w:ascii="Calibri" w:hAnsi="Calibri" w:cs="Calibri"/>
          <w:color w:val="000000" w:themeColor="text1"/>
          <w:sz w:val="22"/>
          <w:szCs w:val="22"/>
        </w:rPr>
        <w:t xml:space="preserve">copes 2 et 3 </w:t>
      </w:r>
      <w:proofErr w:type="gramStart"/>
      <w:r w:rsidRPr="007606BF">
        <w:rPr>
          <w:rFonts w:ascii="Calibri" w:hAnsi="Calibri" w:cs="Calibri"/>
          <w:color w:val="000000" w:themeColor="text1"/>
          <w:sz w:val="22"/>
          <w:szCs w:val="22"/>
        </w:rPr>
        <w:t>amont</w:t>
      </w:r>
      <w:proofErr w:type="gramEnd"/>
      <w:r w:rsidRPr="007606BF">
        <w:rPr>
          <w:rFonts w:ascii="Calibri" w:hAnsi="Calibri" w:cs="Calibri"/>
          <w:color w:val="000000" w:themeColor="text1"/>
          <w:sz w:val="22"/>
          <w:szCs w:val="22"/>
        </w:rPr>
        <w:t xml:space="preserve"> des protocoles carbone</w:t>
      </w:r>
      <w:r>
        <w:rPr>
          <w:rFonts w:ascii="Calibri" w:hAnsi="Calibri" w:cs="Calibri"/>
          <w:color w:val="000000" w:themeColor="text1"/>
          <w:sz w:val="22"/>
          <w:szCs w:val="22"/>
        </w:rPr>
        <w:t xml:space="preserve"> et aux</w:t>
      </w:r>
      <w:r w:rsidRPr="007606BF">
        <w:rPr>
          <w:rFonts w:ascii="Calibri" w:hAnsi="Calibri" w:cs="Calibri"/>
          <w:color w:val="000000" w:themeColor="text1"/>
          <w:sz w:val="22"/>
          <w:szCs w:val="22"/>
        </w:rPr>
        <w:t xml:space="preserve"> émissions indirectes du standard E-liability</w:t>
      </w:r>
      <w:r w:rsidR="00FC5E84">
        <w:rPr>
          <w:rFonts w:ascii="Calibri" w:hAnsi="Calibri" w:cs="Calibri"/>
          <w:color w:val="000000" w:themeColor="text1"/>
          <w:sz w:val="22"/>
          <w:szCs w:val="22"/>
        </w:rPr>
        <w:t>.</w:t>
      </w:r>
    </w:p>
  </w:footnote>
  <w:footnote w:id="3">
    <w:p w14:paraId="05C862C1" w14:textId="78E413EB" w:rsidR="00E4595E" w:rsidRPr="00374FB2" w:rsidRDefault="00E4595E" w:rsidP="00E4595E">
      <w:pPr>
        <w:spacing w:after="0"/>
        <w:jc w:val="both"/>
        <w:rPr>
          <w:rFonts w:ascii="Calibri" w:hAnsi="Calibri" w:cs="Calibri"/>
          <w:color w:val="000000" w:themeColor="text1"/>
          <w:sz w:val="22"/>
          <w:szCs w:val="22"/>
        </w:rPr>
      </w:pPr>
      <w:r w:rsidRPr="00374FB2">
        <w:rPr>
          <w:rStyle w:val="Appelnotedebasdep"/>
          <w:rFonts w:ascii="Calibri" w:hAnsi="Calibri" w:cs="Calibri"/>
          <w:sz w:val="22"/>
          <w:szCs w:val="22"/>
        </w:rPr>
        <w:footnoteRef/>
      </w:r>
      <w:r w:rsidRPr="00374FB2">
        <w:rPr>
          <w:rFonts w:ascii="Calibri" w:hAnsi="Calibri" w:cs="Calibri"/>
          <w:sz w:val="22"/>
          <w:szCs w:val="22"/>
        </w:rPr>
        <w:t xml:space="preserve"> </w:t>
      </w:r>
      <w:r>
        <w:rPr>
          <w:rFonts w:ascii="Calibri" w:hAnsi="Calibri" w:cs="Calibri"/>
          <w:sz w:val="22"/>
          <w:szCs w:val="22"/>
        </w:rPr>
        <w:t>R</w:t>
      </w:r>
      <w:r w:rsidRPr="00374FB2">
        <w:rPr>
          <w:rFonts w:ascii="Calibri" w:hAnsi="Calibri" w:cs="Calibri"/>
          <w:sz w:val="22"/>
          <w:szCs w:val="22"/>
        </w:rPr>
        <w:t>entr</w:t>
      </w:r>
      <w:r>
        <w:rPr>
          <w:rFonts w:ascii="Calibri" w:hAnsi="Calibri" w:cs="Calibri"/>
          <w:sz w:val="22"/>
          <w:szCs w:val="22"/>
        </w:rPr>
        <w:t>a</w:t>
      </w:r>
      <w:r w:rsidRPr="00374FB2">
        <w:rPr>
          <w:rFonts w:ascii="Calibri" w:hAnsi="Calibri" w:cs="Calibri"/>
          <w:sz w:val="22"/>
          <w:szCs w:val="22"/>
        </w:rPr>
        <w:t xml:space="preserve">nt </w:t>
      </w:r>
      <w:r>
        <w:rPr>
          <w:rFonts w:ascii="Calibri" w:hAnsi="Calibri" w:cs="Calibri"/>
          <w:sz w:val="22"/>
          <w:szCs w:val="22"/>
        </w:rPr>
        <w:t>d</w:t>
      </w:r>
      <w:r w:rsidRPr="00374FB2">
        <w:rPr>
          <w:rFonts w:ascii="Calibri" w:hAnsi="Calibri" w:cs="Calibri"/>
          <w:sz w:val="22"/>
          <w:szCs w:val="22"/>
        </w:rPr>
        <w:t>ans le cadre d</w:t>
      </w:r>
      <w:r>
        <w:rPr>
          <w:rFonts w:ascii="Calibri" w:hAnsi="Calibri" w:cs="Calibri"/>
          <w:sz w:val="22"/>
          <w:szCs w:val="22"/>
        </w:rPr>
        <w:t xml:space="preserve">u SEEA </w:t>
      </w:r>
      <w:r w:rsidR="00C238DD">
        <w:rPr>
          <w:rFonts w:ascii="Calibri" w:hAnsi="Calibri" w:cs="Calibri"/>
          <w:color w:val="000000" w:themeColor="text1"/>
          <w:sz w:val="22"/>
          <w:szCs w:val="22"/>
        </w:rPr>
        <w:t>d</w:t>
      </w:r>
      <w:r w:rsidRPr="00374FB2">
        <w:rPr>
          <w:rFonts w:ascii="Calibri" w:hAnsi="Calibri" w:cs="Calibri"/>
          <w:color w:val="000000" w:themeColor="text1"/>
          <w:sz w:val="22"/>
          <w:szCs w:val="22"/>
        </w:rPr>
        <w:t>es Nations Unies (</w:t>
      </w:r>
      <w:r w:rsidRPr="00374FB2">
        <w:rPr>
          <w:rStyle w:val="Aucun"/>
          <w:rFonts w:ascii="Calibri" w:hAnsi="Calibri" w:cs="Calibri"/>
          <w:color w:val="000000" w:themeColor="text1"/>
          <w:sz w:val="22"/>
          <w:szCs w:val="22"/>
        </w:rPr>
        <w:t>System of Environmental Economic Accounting)</w:t>
      </w:r>
      <w:r w:rsidRPr="00374FB2">
        <w:rPr>
          <w:rFonts w:ascii="Calibri" w:hAnsi="Calibri" w:cs="Calibri"/>
          <w:color w:val="000000" w:themeColor="text1"/>
          <w:sz w:val="22"/>
          <w:szCs w:val="22"/>
        </w:rPr>
        <w:t>.</w:t>
      </w:r>
    </w:p>
  </w:footnote>
  <w:footnote w:id="4">
    <w:p w14:paraId="5704AE8D" w14:textId="77777777" w:rsidR="00AC2CAA" w:rsidRDefault="00AC2CAA" w:rsidP="00AC2CAA">
      <w:pPr>
        <w:pStyle w:val="Notedebasdepage"/>
      </w:pPr>
      <w:r>
        <w:rPr>
          <w:rStyle w:val="Appelnotedebasdep"/>
        </w:rPr>
        <w:footnoteRef/>
      </w:r>
      <w:r>
        <w:t xml:space="preserve"> Les émissions des produits sont construites de façon cumulative en associant à une vente le cumul de toutes les émissions nécessaires en amont. Les retraitements visent à retrouver l’additivité, indispensable pour allouer efficacement des moyens financiers limités.</w:t>
      </w:r>
    </w:p>
  </w:footnote>
  <w:footnote w:id="5">
    <w:p w14:paraId="60D19572" w14:textId="77777777" w:rsidR="00CF0D2D" w:rsidRPr="00030CFE" w:rsidRDefault="00CF0D2D" w:rsidP="000A0462">
      <w:pPr>
        <w:spacing w:after="0"/>
        <w:jc w:val="both"/>
        <w:rPr>
          <w:rFonts w:ascii="Calibri" w:hAnsi="Calibri" w:cs="Calibri"/>
          <w:color w:val="000000" w:themeColor="text1"/>
          <w:sz w:val="22"/>
          <w:szCs w:val="22"/>
          <w:lang w:eastAsia="fr-FR"/>
        </w:rPr>
      </w:pPr>
      <w:r w:rsidRPr="00030CFE">
        <w:rPr>
          <w:rStyle w:val="Appelnotedebasdep"/>
          <w:rFonts w:ascii="Calibri" w:hAnsi="Calibri" w:cs="Calibri"/>
          <w:sz w:val="22"/>
          <w:szCs w:val="22"/>
        </w:rPr>
        <w:footnoteRef/>
      </w:r>
      <w:r w:rsidRPr="00030CFE">
        <w:rPr>
          <w:rFonts w:ascii="Calibri" w:hAnsi="Calibri" w:cs="Calibri"/>
          <w:sz w:val="22"/>
          <w:szCs w:val="22"/>
        </w:rPr>
        <w:t xml:space="preserve"> La nomenclature de ce qui est acheté et ven</w:t>
      </w:r>
      <w:r>
        <w:rPr>
          <w:rFonts w:ascii="Calibri" w:hAnsi="Calibri" w:cs="Calibri"/>
          <w:sz w:val="22"/>
          <w:szCs w:val="22"/>
        </w:rPr>
        <w:t>d</w:t>
      </w:r>
      <w:r w:rsidRPr="00030CFE">
        <w:rPr>
          <w:rFonts w:ascii="Calibri" w:hAnsi="Calibri" w:cs="Calibri"/>
          <w:sz w:val="22"/>
          <w:szCs w:val="22"/>
        </w:rPr>
        <w:t xml:space="preserve">u est celle </w:t>
      </w:r>
      <w:r>
        <w:rPr>
          <w:rFonts w:ascii="Calibri" w:hAnsi="Calibri" w:cs="Calibri"/>
          <w:sz w:val="22"/>
          <w:szCs w:val="22"/>
        </w:rPr>
        <w:t xml:space="preserve">en vigueur dans </w:t>
      </w:r>
      <w:r w:rsidRPr="00030CFE">
        <w:rPr>
          <w:rFonts w:ascii="Calibri" w:hAnsi="Calibri" w:cs="Calibri"/>
          <w:sz w:val="22"/>
          <w:szCs w:val="22"/>
        </w:rPr>
        <w:t>l’entreprise</w:t>
      </w:r>
      <w:r w:rsidRPr="00030CFE">
        <w:rPr>
          <w:rFonts w:ascii="Calibri" w:hAnsi="Calibri" w:cs="Calibri"/>
          <w:color w:val="000000" w:themeColor="text1"/>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723"/>
    <w:multiLevelType w:val="hybridMultilevel"/>
    <w:tmpl w:val="A5623B58"/>
    <w:lvl w:ilvl="0" w:tplc="CD722F7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A019C"/>
    <w:multiLevelType w:val="hybridMultilevel"/>
    <w:tmpl w:val="C90EBBA6"/>
    <w:lvl w:ilvl="0" w:tplc="4E7C406C">
      <w:start w:val="1"/>
      <w:numFmt w:val="bullet"/>
      <w:lvlText w:val="•"/>
      <w:lvlJc w:val="left"/>
      <w:pPr>
        <w:tabs>
          <w:tab w:val="num" w:pos="720"/>
        </w:tabs>
        <w:ind w:left="720" w:hanging="360"/>
      </w:pPr>
      <w:rPr>
        <w:rFonts w:ascii="Arial" w:hAnsi="Arial" w:hint="default"/>
      </w:rPr>
    </w:lvl>
    <w:lvl w:ilvl="1" w:tplc="01543D80" w:tentative="1">
      <w:start w:val="1"/>
      <w:numFmt w:val="bullet"/>
      <w:lvlText w:val="•"/>
      <w:lvlJc w:val="left"/>
      <w:pPr>
        <w:tabs>
          <w:tab w:val="num" w:pos="1440"/>
        </w:tabs>
        <w:ind w:left="1440" w:hanging="360"/>
      </w:pPr>
      <w:rPr>
        <w:rFonts w:ascii="Arial" w:hAnsi="Arial" w:hint="default"/>
      </w:rPr>
    </w:lvl>
    <w:lvl w:ilvl="2" w:tplc="B9604856" w:tentative="1">
      <w:start w:val="1"/>
      <w:numFmt w:val="bullet"/>
      <w:lvlText w:val="•"/>
      <w:lvlJc w:val="left"/>
      <w:pPr>
        <w:tabs>
          <w:tab w:val="num" w:pos="2160"/>
        </w:tabs>
        <w:ind w:left="2160" w:hanging="360"/>
      </w:pPr>
      <w:rPr>
        <w:rFonts w:ascii="Arial" w:hAnsi="Arial" w:hint="default"/>
      </w:rPr>
    </w:lvl>
    <w:lvl w:ilvl="3" w:tplc="86A620A8" w:tentative="1">
      <w:start w:val="1"/>
      <w:numFmt w:val="bullet"/>
      <w:lvlText w:val="•"/>
      <w:lvlJc w:val="left"/>
      <w:pPr>
        <w:tabs>
          <w:tab w:val="num" w:pos="2880"/>
        </w:tabs>
        <w:ind w:left="2880" w:hanging="360"/>
      </w:pPr>
      <w:rPr>
        <w:rFonts w:ascii="Arial" w:hAnsi="Arial" w:hint="default"/>
      </w:rPr>
    </w:lvl>
    <w:lvl w:ilvl="4" w:tplc="1E9CB1DC" w:tentative="1">
      <w:start w:val="1"/>
      <w:numFmt w:val="bullet"/>
      <w:lvlText w:val="•"/>
      <w:lvlJc w:val="left"/>
      <w:pPr>
        <w:tabs>
          <w:tab w:val="num" w:pos="3600"/>
        </w:tabs>
        <w:ind w:left="3600" w:hanging="360"/>
      </w:pPr>
      <w:rPr>
        <w:rFonts w:ascii="Arial" w:hAnsi="Arial" w:hint="default"/>
      </w:rPr>
    </w:lvl>
    <w:lvl w:ilvl="5" w:tplc="C54A1BAA" w:tentative="1">
      <w:start w:val="1"/>
      <w:numFmt w:val="bullet"/>
      <w:lvlText w:val="•"/>
      <w:lvlJc w:val="left"/>
      <w:pPr>
        <w:tabs>
          <w:tab w:val="num" w:pos="4320"/>
        </w:tabs>
        <w:ind w:left="4320" w:hanging="360"/>
      </w:pPr>
      <w:rPr>
        <w:rFonts w:ascii="Arial" w:hAnsi="Arial" w:hint="default"/>
      </w:rPr>
    </w:lvl>
    <w:lvl w:ilvl="6" w:tplc="A832F1F4" w:tentative="1">
      <w:start w:val="1"/>
      <w:numFmt w:val="bullet"/>
      <w:lvlText w:val="•"/>
      <w:lvlJc w:val="left"/>
      <w:pPr>
        <w:tabs>
          <w:tab w:val="num" w:pos="5040"/>
        </w:tabs>
        <w:ind w:left="5040" w:hanging="360"/>
      </w:pPr>
      <w:rPr>
        <w:rFonts w:ascii="Arial" w:hAnsi="Arial" w:hint="default"/>
      </w:rPr>
    </w:lvl>
    <w:lvl w:ilvl="7" w:tplc="C9CAED38" w:tentative="1">
      <w:start w:val="1"/>
      <w:numFmt w:val="bullet"/>
      <w:lvlText w:val="•"/>
      <w:lvlJc w:val="left"/>
      <w:pPr>
        <w:tabs>
          <w:tab w:val="num" w:pos="5760"/>
        </w:tabs>
        <w:ind w:left="5760" w:hanging="360"/>
      </w:pPr>
      <w:rPr>
        <w:rFonts w:ascii="Arial" w:hAnsi="Arial" w:hint="default"/>
      </w:rPr>
    </w:lvl>
    <w:lvl w:ilvl="8" w:tplc="26C245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F56AD6"/>
    <w:multiLevelType w:val="hybridMultilevel"/>
    <w:tmpl w:val="8A98716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955C0C"/>
    <w:multiLevelType w:val="hybridMultilevel"/>
    <w:tmpl w:val="F1EA39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4162DD"/>
    <w:multiLevelType w:val="hybridMultilevel"/>
    <w:tmpl w:val="DA2C7F78"/>
    <w:lvl w:ilvl="0" w:tplc="5A26C7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0673E"/>
    <w:multiLevelType w:val="hybridMultilevel"/>
    <w:tmpl w:val="F61C2924"/>
    <w:lvl w:ilvl="0" w:tplc="A55EA69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920A32"/>
    <w:multiLevelType w:val="hybridMultilevel"/>
    <w:tmpl w:val="6BDC50CE"/>
    <w:lvl w:ilvl="0" w:tplc="028CFA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0C3088"/>
    <w:multiLevelType w:val="hybridMultilevel"/>
    <w:tmpl w:val="C80CF55E"/>
    <w:lvl w:ilvl="0" w:tplc="040C000F">
      <w:start w:val="6"/>
      <w:numFmt w:val="decimal"/>
      <w:lvlText w:val="%1."/>
      <w:lvlJc w:val="left"/>
      <w:pPr>
        <w:ind w:left="360" w:hanging="360"/>
      </w:pPr>
      <w:rPr>
        <w:rFonts w:hint="default"/>
        <w:b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B0E7DFA"/>
    <w:multiLevelType w:val="hybridMultilevel"/>
    <w:tmpl w:val="5F780F62"/>
    <w:lvl w:ilvl="0" w:tplc="778CADA0">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32604F"/>
    <w:multiLevelType w:val="hybridMultilevel"/>
    <w:tmpl w:val="8356235A"/>
    <w:lvl w:ilvl="0" w:tplc="E25ED3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F37D29"/>
    <w:multiLevelType w:val="hybridMultilevel"/>
    <w:tmpl w:val="AC00211E"/>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FB19A8"/>
    <w:multiLevelType w:val="hybridMultilevel"/>
    <w:tmpl w:val="CB52B8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F321356"/>
    <w:multiLevelType w:val="hybridMultilevel"/>
    <w:tmpl w:val="25383D3E"/>
    <w:lvl w:ilvl="0" w:tplc="A55EA69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7156B9"/>
    <w:multiLevelType w:val="hybridMultilevel"/>
    <w:tmpl w:val="BA4C75B6"/>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7C0D47"/>
    <w:multiLevelType w:val="hybridMultilevel"/>
    <w:tmpl w:val="B07C3BE6"/>
    <w:lvl w:ilvl="0" w:tplc="D89EC19A">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A42ED8"/>
    <w:multiLevelType w:val="hybridMultilevel"/>
    <w:tmpl w:val="B83C6FD6"/>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8E80585"/>
    <w:multiLevelType w:val="hybridMultilevel"/>
    <w:tmpl w:val="7840A1AC"/>
    <w:lvl w:ilvl="0" w:tplc="040C000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EA22DCA"/>
    <w:multiLevelType w:val="hybridMultilevel"/>
    <w:tmpl w:val="3048B768"/>
    <w:lvl w:ilvl="0" w:tplc="E25ED3C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D00022"/>
    <w:multiLevelType w:val="hybridMultilevel"/>
    <w:tmpl w:val="9E5E1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19F5EA3"/>
    <w:multiLevelType w:val="hybridMultilevel"/>
    <w:tmpl w:val="B0123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7A49BC"/>
    <w:multiLevelType w:val="hybridMultilevel"/>
    <w:tmpl w:val="DCBEDE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3D4DAB"/>
    <w:multiLevelType w:val="hybridMultilevel"/>
    <w:tmpl w:val="D8DAAD7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CD7D46"/>
    <w:multiLevelType w:val="hybridMultilevel"/>
    <w:tmpl w:val="49DCF7AE"/>
    <w:lvl w:ilvl="0" w:tplc="1AC6A1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070633"/>
    <w:multiLevelType w:val="hybridMultilevel"/>
    <w:tmpl w:val="CA6046F4"/>
    <w:lvl w:ilvl="0" w:tplc="584E3EFE">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78062796">
    <w:abstractNumId w:val="19"/>
  </w:num>
  <w:num w:numId="2" w16cid:durableId="368340611">
    <w:abstractNumId w:val="20"/>
  </w:num>
  <w:num w:numId="3" w16cid:durableId="826434878">
    <w:abstractNumId w:val="9"/>
  </w:num>
  <w:num w:numId="4" w16cid:durableId="1708332844">
    <w:abstractNumId w:val="17"/>
  </w:num>
  <w:num w:numId="5" w16cid:durableId="675546270">
    <w:abstractNumId w:val="18"/>
  </w:num>
  <w:num w:numId="6" w16cid:durableId="189728207">
    <w:abstractNumId w:val="22"/>
  </w:num>
  <w:num w:numId="7" w16cid:durableId="1891189998">
    <w:abstractNumId w:val="4"/>
  </w:num>
  <w:num w:numId="8" w16cid:durableId="1582566065">
    <w:abstractNumId w:val="10"/>
  </w:num>
  <w:num w:numId="9" w16cid:durableId="2132085673">
    <w:abstractNumId w:val="16"/>
  </w:num>
  <w:num w:numId="10" w16cid:durableId="989359706">
    <w:abstractNumId w:val="12"/>
  </w:num>
  <w:num w:numId="11" w16cid:durableId="1974600340">
    <w:abstractNumId w:val="5"/>
  </w:num>
  <w:num w:numId="12" w16cid:durableId="1560704072">
    <w:abstractNumId w:val="2"/>
  </w:num>
  <w:num w:numId="13" w16cid:durableId="2088266106">
    <w:abstractNumId w:val="11"/>
  </w:num>
  <w:num w:numId="14" w16cid:durableId="83066384">
    <w:abstractNumId w:val="6"/>
  </w:num>
  <w:num w:numId="15" w16cid:durableId="1259942430">
    <w:abstractNumId w:val="14"/>
  </w:num>
  <w:num w:numId="16" w16cid:durableId="173308567">
    <w:abstractNumId w:val="8"/>
  </w:num>
  <w:num w:numId="17" w16cid:durableId="1057046645">
    <w:abstractNumId w:val="1"/>
  </w:num>
  <w:num w:numId="18" w16cid:durableId="1738698345">
    <w:abstractNumId w:val="23"/>
  </w:num>
  <w:num w:numId="19" w16cid:durableId="804394550">
    <w:abstractNumId w:val="15"/>
  </w:num>
  <w:num w:numId="20" w16cid:durableId="1712798662">
    <w:abstractNumId w:val="21"/>
  </w:num>
  <w:num w:numId="21" w16cid:durableId="773866045">
    <w:abstractNumId w:val="0"/>
  </w:num>
  <w:num w:numId="22" w16cid:durableId="1774088255">
    <w:abstractNumId w:val="7"/>
  </w:num>
  <w:num w:numId="23" w16cid:durableId="1565795939">
    <w:abstractNumId w:val="13"/>
  </w:num>
  <w:num w:numId="24" w16cid:durableId="384333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AF"/>
    <w:rsid w:val="00002B74"/>
    <w:rsid w:val="00002C17"/>
    <w:rsid w:val="000063C8"/>
    <w:rsid w:val="0000752D"/>
    <w:rsid w:val="00012BCE"/>
    <w:rsid w:val="00020C31"/>
    <w:rsid w:val="000210B5"/>
    <w:rsid w:val="00023396"/>
    <w:rsid w:val="0002341D"/>
    <w:rsid w:val="00024A33"/>
    <w:rsid w:val="00025F87"/>
    <w:rsid w:val="000301F3"/>
    <w:rsid w:val="00032026"/>
    <w:rsid w:val="00032919"/>
    <w:rsid w:val="00033DF6"/>
    <w:rsid w:val="00035028"/>
    <w:rsid w:val="0003697E"/>
    <w:rsid w:val="00046A5D"/>
    <w:rsid w:val="00047F15"/>
    <w:rsid w:val="0005180F"/>
    <w:rsid w:val="00055EDC"/>
    <w:rsid w:val="00060AB2"/>
    <w:rsid w:val="00060D99"/>
    <w:rsid w:val="00061E05"/>
    <w:rsid w:val="00062B16"/>
    <w:rsid w:val="0006349E"/>
    <w:rsid w:val="00066EED"/>
    <w:rsid w:val="00067DD4"/>
    <w:rsid w:val="00070387"/>
    <w:rsid w:val="00072AFF"/>
    <w:rsid w:val="00073ADB"/>
    <w:rsid w:val="00073D98"/>
    <w:rsid w:val="00074127"/>
    <w:rsid w:val="000770E5"/>
    <w:rsid w:val="0007732C"/>
    <w:rsid w:val="0008065E"/>
    <w:rsid w:val="00080BEB"/>
    <w:rsid w:val="000819BB"/>
    <w:rsid w:val="00083EDB"/>
    <w:rsid w:val="00085D10"/>
    <w:rsid w:val="000860FA"/>
    <w:rsid w:val="000862BD"/>
    <w:rsid w:val="000865F2"/>
    <w:rsid w:val="000874FD"/>
    <w:rsid w:val="00090C76"/>
    <w:rsid w:val="00096750"/>
    <w:rsid w:val="00096955"/>
    <w:rsid w:val="000A0462"/>
    <w:rsid w:val="000A1476"/>
    <w:rsid w:val="000A1B5B"/>
    <w:rsid w:val="000A48E0"/>
    <w:rsid w:val="000A4EB7"/>
    <w:rsid w:val="000A5AB1"/>
    <w:rsid w:val="000B15E2"/>
    <w:rsid w:val="000B1B55"/>
    <w:rsid w:val="000B1B9A"/>
    <w:rsid w:val="000B2AA6"/>
    <w:rsid w:val="000B4E7B"/>
    <w:rsid w:val="000B50C0"/>
    <w:rsid w:val="000B5C7C"/>
    <w:rsid w:val="000B7012"/>
    <w:rsid w:val="000C270A"/>
    <w:rsid w:val="000C34FD"/>
    <w:rsid w:val="000C4B35"/>
    <w:rsid w:val="000C4E7B"/>
    <w:rsid w:val="000C5008"/>
    <w:rsid w:val="000C7265"/>
    <w:rsid w:val="000C7382"/>
    <w:rsid w:val="000D338A"/>
    <w:rsid w:val="000D4D8D"/>
    <w:rsid w:val="000E2D26"/>
    <w:rsid w:val="000E3515"/>
    <w:rsid w:val="000E5EBF"/>
    <w:rsid w:val="000F12E5"/>
    <w:rsid w:val="000F6806"/>
    <w:rsid w:val="00100D91"/>
    <w:rsid w:val="001060BE"/>
    <w:rsid w:val="00106E8F"/>
    <w:rsid w:val="001144FC"/>
    <w:rsid w:val="0011519C"/>
    <w:rsid w:val="00120F2D"/>
    <w:rsid w:val="00121711"/>
    <w:rsid w:val="00123C9C"/>
    <w:rsid w:val="001247E0"/>
    <w:rsid w:val="0012508B"/>
    <w:rsid w:val="00125AD8"/>
    <w:rsid w:val="001264E4"/>
    <w:rsid w:val="00127658"/>
    <w:rsid w:val="00134D1C"/>
    <w:rsid w:val="00137C74"/>
    <w:rsid w:val="001403FB"/>
    <w:rsid w:val="0014314C"/>
    <w:rsid w:val="00145F95"/>
    <w:rsid w:val="001469F1"/>
    <w:rsid w:val="00147CD5"/>
    <w:rsid w:val="00151183"/>
    <w:rsid w:val="00155B6E"/>
    <w:rsid w:val="00157DCA"/>
    <w:rsid w:val="00160B78"/>
    <w:rsid w:val="00161450"/>
    <w:rsid w:val="001623F9"/>
    <w:rsid w:val="00175AFB"/>
    <w:rsid w:val="00176B4A"/>
    <w:rsid w:val="0018354D"/>
    <w:rsid w:val="001845D4"/>
    <w:rsid w:val="001853B4"/>
    <w:rsid w:val="00186A63"/>
    <w:rsid w:val="001918BF"/>
    <w:rsid w:val="0019387E"/>
    <w:rsid w:val="00193D93"/>
    <w:rsid w:val="001944A8"/>
    <w:rsid w:val="00195122"/>
    <w:rsid w:val="001951D5"/>
    <w:rsid w:val="001A66DF"/>
    <w:rsid w:val="001B0066"/>
    <w:rsid w:val="001B033B"/>
    <w:rsid w:val="001B230E"/>
    <w:rsid w:val="001B2901"/>
    <w:rsid w:val="001B62DE"/>
    <w:rsid w:val="001B7730"/>
    <w:rsid w:val="001B7BAB"/>
    <w:rsid w:val="001B7D43"/>
    <w:rsid w:val="001C2403"/>
    <w:rsid w:val="001C4184"/>
    <w:rsid w:val="001C60DC"/>
    <w:rsid w:val="001C77AD"/>
    <w:rsid w:val="001D35EA"/>
    <w:rsid w:val="001D4903"/>
    <w:rsid w:val="001E0838"/>
    <w:rsid w:val="001E10DD"/>
    <w:rsid w:val="001E2A99"/>
    <w:rsid w:val="001E5478"/>
    <w:rsid w:val="001E6FA8"/>
    <w:rsid w:val="001E6FD3"/>
    <w:rsid w:val="001E7FA7"/>
    <w:rsid w:val="001F12B4"/>
    <w:rsid w:val="001F202A"/>
    <w:rsid w:val="001F5DD9"/>
    <w:rsid w:val="002013D4"/>
    <w:rsid w:val="00202A3E"/>
    <w:rsid w:val="00206E49"/>
    <w:rsid w:val="002104E0"/>
    <w:rsid w:val="00210DB9"/>
    <w:rsid w:val="002139ED"/>
    <w:rsid w:val="002159D4"/>
    <w:rsid w:val="0022052D"/>
    <w:rsid w:val="00221752"/>
    <w:rsid w:val="00222AD0"/>
    <w:rsid w:val="00223336"/>
    <w:rsid w:val="00224BDF"/>
    <w:rsid w:val="0024219C"/>
    <w:rsid w:val="0024257F"/>
    <w:rsid w:val="00242C0F"/>
    <w:rsid w:val="00243718"/>
    <w:rsid w:val="0024638D"/>
    <w:rsid w:val="002468C1"/>
    <w:rsid w:val="002468D9"/>
    <w:rsid w:val="002517FF"/>
    <w:rsid w:val="00252E68"/>
    <w:rsid w:val="00253564"/>
    <w:rsid w:val="0025512C"/>
    <w:rsid w:val="002554B9"/>
    <w:rsid w:val="00256B54"/>
    <w:rsid w:val="0026066E"/>
    <w:rsid w:val="002611F9"/>
    <w:rsid w:val="00263D10"/>
    <w:rsid w:val="0026573B"/>
    <w:rsid w:val="00271428"/>
    <w:rsid w:val="00274103"/>
    <w:rsid w:val="00275D32"/>
    <w:rsid w:val="00280371"/>
    <w:rsid w:val="00280424"/>
    <w:rsid w:val="002817AD"/>
    <w:rsid w:val="00282D4F"/>
    <w:rsid w:val="002870E5"/>
    <w:rsid w:val="0029170A"/>
    <w:rsid w:val="002917A1"/>
    <w:rsid w:val="00293753"/>
    <w:rsid w:val="00297494"/>
    <w:rsid w:val="002A07ED"/>
    <w:rsid w:val="002A2E78"/>
    <w:rsid w:val="002A38D4"/>
    <w:rsid w:val="002A634F"/>
    <w:rsid w:val="002B0ED1"/>
    <w:rsid w:val="002B248B"/>
    <w:rsid w:val="002B7653"/>
    <w:rsid w:val="002C0E71"/>
    <w:rsid w:val="002C1FC2"/>
    <w:rsid w:val="002C26E3"/>
    <w:rsid w:val="002C2F33"/>
    <w:rsid w:val="002C6AA1"/>
    <w:rsid w:val="002D0111"/>
    <w:rsid w:val="002D1364"/>
    <w:rsid w:val="002D16CA"/>
    <w:rsid w:val="002D48C0"/>
    <w:rsid w:val="002D5376"/>
    <w:rsid w:val="002D68E4"/>
    <w:rsid w:val="002E19AB"/>
    <w:rsid w:val="002E45E6"/>
    <w:rsid w:val="002E4EE1"/>
    <w:rsid w:val="002E53E4"/>
    <w:rsid w:val="002E784B"/>
    <w:rsid w:val="002F0968"/>
    <w:rsid w:val="002F3F88"/>
    <w:rsid w:val="002F7939"/>
    <w:rsid w:val="0030380D"/>
    <w:rsid w:val="00311630"/>
    <w:rsid w:val="00312714"/>
    <w:rsid w:val="00313117"/>
    <w:rsid w:val="0031414C"/>
    <w:rsid w:val="00314E50"/>
    <w:rsid w:val="00316E5D"/>
    <w:rsid w:val="00320CA9"/>
    <w:rsid w:val="003220FF"/>
    <w:rsid w:val="00322D97"/>
    <w:rsid w:val="003259D8"/>
    <w:rsid w:val="00326BBF"/>
    <w:rsid w:val="003341AA"/>
    <w:rsid w:val="00334BDB"/>
    <w:rsid w:val="00335484"/>
    <w:rsid w:val="003355DE"/>
    <w:rsid w:val="00337933"/>
    <w:rsid w:val="003415AD"/>
    <w:rsid w:val="00341C2B"/>
    <w:rsid w:val="00345B04"/>
    <w:rsid w:val="003470B6"/>
    <w:rsid w:val="0035230B"/>
    <w:rsid w:val="00353798"/>
    <w:rsid w:val="00355542"/>
    <w:rsid w:val="00356BAA"/>
    <w:rsid w:val="0035749C"/>
    <w:rsid w:val="00360DB5"/>
    <w:rsid w:val="003613B3"/>
    <w:rsid w:val="00363980"/>
    <w:rsid w:val="00366574"/>
    <w:rsid w:val="00366E04"/>
    <w:rsid w:val="003672DA"/>
    <w:rsid w:val="00367AF4"/>
    <w:rsid w:val="00370EC2"/>
    <w:rsid w:val="00372197"/>
    <w:rsid w:val="00373AF1"/>
    <w:rsid w:val="00374949"/>
    <w:rsid w:val="00374FB2"/>
    <w:rsid w:val="00375522"/>
    <w:rsid w:val="003757E2"/>
    <w:rsid w:val="00380E59"/>
    <w:rsid w:val="00383EFB"/>
    <w:rsid w:val="0038602E"/>
    <w:rsid w:val="00386880"/>
    <w:rsid w:val="00386FAC"/>
    <w:rsid w:val="003875DA"/>
    <w:rsid w:val="0039576F"/>
    <w:rsid w:val="00396E61"/>
    <w:rsid w:val="003A5C08"/>
    <w:rsid w:val="003B2200"/>
    <w:rsid w:val="003B47C5"/>
    <w:rsid w:val="003B5299"/>
    <w:rsid w:val="003B5306"/>
    <w:rsid w:val="003B5FD1"/>
    <w:rsid w:val="003B77AB"/>
    <w:rsid w:val="003C05D3"/>
    <w:rsid w:val="003C172E"/>
    <w:rsid w:val="003C234C"/>
    <w:rsid w:val="003C5862"/>
    <w:rsid w:val="003C79FA"/>
    <w:rsid w:val="003D452F"/>
    <w:rsid w:val="003E0A74"/>
    <w:rsid w:val="003E1048"/>
    <w:rsid w:val="003E322C"/>
    <w:rsid w:val="003E331A"/>
    <w:rsid w:val="003F4AB2"/>
    <w:rsid w:val="003F716D"/>
    <w:rsid w:val="00400ABE"/>
    <w:rsid w:val="00400B42"/>
    <w:rsid w:val="0041577C"/>
    <w:rsid w:val="00420006"/>
    <w:rsid w:val="0042240B"/>
    <w:rsid w:val="00423BA5"/>
    <w:rsid w:val="00433A33"/>
    <w:rsid w:val="00446198"/>
    <w:rsid w:val="004463C4"/>
    <w:rsid w:val="00453C84"/>
    <w:rsid w:val="004546C8"/>
    <w:rsid w:val="00455C5E"/>
    <w:rsid w:val="004570B0"/>
    <w:rsid w:val="004603D1"/>
    <w:rsid w:val="00460B40"/>
    <w:rsid w:val="00461F40"/>
    <w:rsid w:val="00463F31"/>
    <w:rsid w:val="00466513"/>
    <w:rsid w:val="00474C44"/>
    <w:rsid w:val="00475A01"/>
    <w:rsid w:val="00483C1B"/>
    <w:rsid w:val="00484136"/>
    <w:rsid w:val="00491EC4"/>
    <w:rsid w:val="00495D4E"/>
    <w:rsid w:val="004A053D"/>
    <w:rsid w:val="004A0AA3"/>
    <w:rsid w:val="004A4DDA"/>
    <w:rsid w:val="004A59C7"/>
    <w:rsid w:val="004A7417"/>
    <w:rsid w:val="004B4523"/>
    <w:rsid w:val="004B500E"/>
    <w:rsid w:val="004B65AC"/>
    <w:rsid w:val="004C1C38"/>
    <w:rsid w:val="004C3A28"/>
    <w:rsid w:val="004E18BB"/>
    <w:rsid w:val="004E414E"/>
    <w:rsid w:val="004E429F"/>
    <w:rsid w:val="004E6668"/>
    <w:rsid w:val="004E7D8C"/>
    <w:rsid w:val="004F164A"/>
    <w:rsid w:val="004F2CB6"/>
    <w:rsid w:val="004F31D8"/>
    <w:rsid w:val="004F634D"/>
    <w:rsid w:val="004F7750"/>
    <w:rsid w:val="00500EC3"/>
    <w:rsid w:val="0050185B"/>
    <w:rsid w:val="00504A62"/>
    <w:rsid w:val="00504D41"/>
    <w:rsid w:val="005062B8"/>
    <w:rsid w:val="00510A22"/>
    <w:rsid w:val="00514824"/>
    <w:rsid w:val="005155E6"/>
    <w:rsid w:val="005161C2"/>
    <w:rsid w:val="00525316"/>
    <w:rsid w:val="00525858"/>
    <w:rsid w:val="00530164"/>
    <w:rsid w:val="00533EF4"/>
    <w:rsid w:val="005350FF"/>
    <w:rsid w:val="0053637B"/>
    <w:rsid w:val="005458B9"/>
    <w:rsid w:val="00552865"/>
    <w:rsid w:val="005554F4"/>
    <w:rsid w:val="00556EE7"/>
    <w:rsid w:val="00556F60"/>
    <w:rsid w:val="00561C1A"/>
    <w:rsid w:val="00564DF8"/>
    <w:rsid w:val="0057370A"/>
    <w:rsid w:val="00576EBA"/>
    <w:rsid w:val="0058075D"/>
    <w:rsid w:val="00580FA7"/>
    <w:rsid w:val="00582FAC"/>
    <w:rsid w:val="00587668"/>
    <w:rsid w:val="00590F95"/>
    <w:rsid w:val="00592239"/>
    <w:rsid w:val="00594A90"/>
    <w:rsid w:val="00595A09"/>
    <w:rsid w:val="005A1655"/>
    <w:rsid w:val="005A3D97"/>
    <w:rsid w:val="005A56FB"/>
    <w:rsid w:val="005B3C33"/>
    <w:rsid w:val="005C0407"/>
    <w:rsid w:val="005C5688"/>
    <w:rsid w:val="005C7343"/>
    <w:rsid w:val="005D192A"/>
    <w:rsid w:val="005D659A"/>
    <w:rsid w:val="005D7597"/>
    <w:rsid w:val="005E32CA"/>
    <w:rsid w:val="005E3A30"/>
    <w:rsid w:val="005E5BD4"/>
    <w:rsid w:val="005E5DB1"/>
    <w:rsid w:val="005E77B4"/>
    <w:rsid w:val="005F4E03"/>
    <w:rsid w:val="005F5FDD"/>
    <w:rsid w:val="005F7416"/>
    <w:rsid w:val="00603A3B"/>
    <w:rsid w:val="00606CFD"/>
    <w:rsid w:val="006135E5"/>
    <w:rsid w:val="006212F4"/>
    <w:rsid w:val="0062344F"/>
    <w:rsid w:val="00624FBC"/>
    <w:rsid w:val="00632A01"/>
    <w:rsid w:val="006339F3"/>
    <w:rsid w:val="00636FBF"/>
    <w:rsid w:val="00641A37"/>
    <w:rsid w:val="0064297F"/>
    <w:rsid w:val="006431D2"/>
    <w:rsid w:val="006436E0"/>
    <w:rsid w:val="00645395"/>
    <w:rsid w:val="00645AA6"/>
    <w:rsid w:val="006463A0"/>
    <w:rsid w:val="00651CCD"/>
    <w:rsid w:val="006554F2"/>
    <w:rsid w:val="00664324"/>
    <w:rsid w:val="006712B2"/>
    <w:rsid w:val="006807C3"/>
    <w:rsid w:val="00680DFC"/>
    <w:rsid w:val="00681F42"/>
    <w:rsid w:val="00682BBD"/>
    <w:rsid w:val="00687910"/>
    <w:rsid w:val="006906B6"/>
    <w:rsid w:val="0069174F"/>
    <w:rsid w:val="00691949"/>
    <w:rsid w:val="0069633A"/>
    <w:rsid w:val="006A2F5E"/>
    <w:rsid w:val="006A3207"/>
    <w:rsid w:val="006B14E3"/>
    <w:rsid w:val="006B1E84"/>
    <w:rsid w:val="006B5596"/>
    <w:rsid w:val="006B5B5F"/>
    <w:rsid w:val="006B719A"/>
    <w:rsid w:val="006C0ED9"/>
    <w:rsid w:val="006C36C9"/>
    <w:rsid w:val="006D54A6"/>
    <w:rsid w:val="006D6F31"/>
    <w:rsid w:val="006E00E7"/>
    <w:rsid w:val="006E1309"/>
    <w:rsid w:val="006E2A9E"/>
    <w:rsid w:val="006E2CD1"/>
    <w:rsid w:val="006E4C67"/>
    <w:rsid w:val="006E7009"/>
    <w:rsid w:val="006F0C44"/>
    <w:rsid w:val="006F1033"/>
    <w:rsid w:val="006F1567"/>
    <w:rsid w:val="006F5361"/>
    <w:rsid w:val="006F602A"/>
    <w:rsid w:val="00701C3D"/>
    <w:rsid w:val="0070636B"/>
    <w:rsid w:val="00706489"/>
    <w:rsid w:val="00711FD0"/>
    <w:rsid w:val="00712BE4"/>
    <w:rsid w:val="0071390E"/>
    <w:rsid w:val="00713D15"/>
    <w:rsid w:val="00714B1F"/>
    <w:rsid w:val="00714B20"/>
    <w:rsid w:val="007157B0"/>
    <w:rsid w:val="00716DCF"/>
    <w:rsid w:val="00720D35"/>
    <w:rsid w:val="00730865"/>
    <w:rsid w:val="007315F3"/>
    <w:rsid w:val="00735C44"/>
    <w:rsid w:val="007368A5"/>
    <w:rsid w:val="00736CC7"/>
    <w:rsid w:val="007451F3"/>
    <w:rsid w:val="007515B4"/>
    <w:rsid w:val="00751C02"/>
    <w:rsid w:val="007531A3"/>
    <w:rsid w:val="007606BF"/>
    <w:rsid w:val="00761C18"/>
    <w:rsid w:val="00765A62"/>
    <w:rsid w:val="0077285C"/>
    <w:rsid w:val="00774DCE"/>
    <w:rsid w:val="00775544"/>
    <w:rsid w:val="007818D7"/>
    <w:rsid w:val="0078671E"/>
    <w:rsid w:val="007903EF"/>
    <w:rsid w:val="007914CB"/>
    <w:rsid w:val="00793360"/>
    <w:rsid w:val="00793B7B"/>
    <w:rsid w:val="00795FF2"/>
    <w:rsid w:val="00797ABA"/>
    <w:rsid w:val="007A154F"/>
    <w:rsid w:val="007A2571"/>
    <w:rsid w:val="007A56EA"/>
    <w:rsid w:val="007B1B5E"/>
    <w:rsid w:val="007B41B5"/>
    <w:rsid w:val="007B513E"/>
    <w:rsid w:val="007B79B5"/>
    <w:rsid w:val="007C0786"/>
    <w:rsid w:val="007D1E1B"/>
    <w:rsid w:val="007D2772"/>
    <w:rsid w:val="007D2D6E"/>
    <w:rsid w:val="007D42F7"/>
    <w:rsid w:val="007D4A77"/>
    <w:rsid w:val="007D4C26"/>
    <w:rsid w:val="007D6C13"/>
    <w:rsid w:val="007E20D8"/>
    <w:rsid w:val="007E38EC"/>
    <w:rsid w:val="007E3C47"/>
    <w:rsid w:val="007E4144"/>
    <w:rsid w:val="007E4730"/>
    <w:rsid w:val="007F05E7"/>
    <w:rsid w:val="007F387D"/>
    <w:rsid w:val="007F7838"/>
    <w:rsid w:val="00800710"/>
    <w:rsid w:val="008111E1"/>
    <w:rsid w:val="00812295"/>
    <w:rsid w:val="008154AE"/>
    <w:rsid w:val="008179A2"/>
    <w:rsid w:val="00821040"/>
    <w:rsid w:val="0082362B"/>
    <w:rsid w:val="00823D0C"/>
    <w:rsid w:val="008270F7"/>
    <w:rsid w:val="00831049"/>
    <w:rsid w:val="00831D56"/>
    <w:rsid w:val="00832424"/>
    <w:rsid w:val="00833DCA"/>
    <w:rsid w:val="00837667"/>
    <w:rsid w:val="00840EBD"/>
    <w:rsid w:val="008410C5"/>
    <w:rsid w:val="0084116B"/>
    <w:rsid w:val="00842B98"/>
    <w:rsid w:val="00844AA4"/>
    <w:rsid w:val="00852A04"/>
    <w:rsid w:val="008548D0"/>
    <w:rsid w:val="00856F0A"/>
    <w:rsid w:val="008576A4"/>
    <w:rsid w:val="0086078E"/>
    <w:rsid w:val="00861BB8"/>
    <w:rsid w:val="00862620"/>
    <w:rsid w:val="00863199"/>
    <w:rsid w:val="008631E7"/>
    <w:rsid w:val="00870314"/>
    <w:rsid w:val="00874778"/>
    <w:rsid w:val="00875EF3"/>
    <w:rsid w:val="008773B2"/>
    <w:rsid w:val="00877401"/>
    <w:rsid w:val="00880E59"/>
    <w:rsid w:val="008819DA"/>
    <w:rsid w:val="0088269B"/>
    <w:rsid w:val="008843F9"/>
    <w:rsid w:val="0088649A"/>
    <w:rsid w:val="0088673F"/>
    <w:rsid w:val="00887995"/>
    <w:rsid w:val="00890B54"/>
    <w:rsid w:val="00894F26"/>
    <w:rsid w:val="0089522F"/>
    <w:rsid w:val="00896F3B"/>
    <w:rsid w:val="00897950"/>
    <w:rsid w:val="008A4852"/>
    <w:rsid w:val="008A6310"/>
    <w:rsid w:val="008A6FD6"/>
    <w:rsid w:val="008B15D3"/>
    <w:rsid w:val="008B6643"/>
    <w:rsid w:val="008C05EB"/>
    <w:rsid w:val="008C0E97"/>
    <w:rsid w:val="008C10CA"/>
    <w:rsid w:val="008C2E8F"/>
    <w:rsid w:val="008C3BC2"/>
    <w:rsid w:val="008C7166"/>
    <w:rsid w:val="008D3861"/>
    <w:rsid w:val="008D5FE8"/>
    <w:rsid w:val="008E0120"/>
    <w:rsid w:val="008E21C2"/>
    <w:rsid w:val="008E2563"/>
    <w:rsid w:val="008F0558"/>
    <w:rsid w:val="008F1196"/>
    <w:rsid w:val="008F121D"/>
    <w:rsid w:val="008F6B3F"/>
    <w:rsid w:val="009001AD"/>
    <w:rsid w:val="0090285F"/>
    <w:rsid w:val="00903037"/>
    <w:rsid w:val="00903E53"/>
    <w:rsid w:val="00904CA0"/>
    <w:rsid w:val="00906A1D"/>
    <w:rsid w:val="00911088"/>
    <w:rsid w:val="00911823"/>
    <w:rsid w:val="00915B48"/>
    <w:rsid w:val="00920A0E"/>
    <w:rsid w:val="009235A7"/>
    <w:rsid w:val="00924046"/>
    <w:rsid w:val="00924D8B"/>
    <w:rsid w:val="009263B8"/>
    <w:rsid w:val="00927A1B"/>
    <w:rsid w:val="00927D60"/>
    <w:rsid w:val="00931A30"/>
    <w:rsid w:val="0093298D"/>
    <w:rsid w:val="0093607A"/>
    <w:rsid w:val="0093609B"/>
    <w:rsid w:val="00937B08"/>
    <w:rsid w:val="00940F74"/>
    <w:rsid w:val="00943171"/>
    <w:rsid w:val="00944F7C"/>
    <w:rsid w:val="00946570"/>
    <w:rsid w:val="00947296"/>
    <w:rsid w:val="00951110"/>
    <w:rsid w:val="009512E1"/>
    <w:rsid w:val="009579F5"/>
    <w:rsid w:val="00957F04"/>
    <w:rsid w:val="009616EE"/>
    <w:rsid w:val="00961850"/>
    <w:rsid w:val="00964E66"/>
    <w:rsid w:val="0096513E"/>
    <w:rsid w:val="0096527C"/>
    <w:rsid w:val="00973249"/>
    <w:rsid w:val="0097678E"/>
    <w:rsid w:val="00982E0C"/>
    <w:rsid w:val="0098515A"/>
    <w:rsid w:val="00987BA9"/>
    <w:rsid w:val="0099004C"/>
    <w:rsid w:val="00994B5D"/>
    <w:rsid w:val="0099534E"/>
    <w:rsid w:val="00996753"/>
    <w:rsid w:val="009979DC"/>
    <w:rsid w:val="009A043B"/>
    <w:rsid w:val="009A18C5"/>
    <w:rsid w:val="009A466A"/>
    <w:rsid w:val="009A64A0"/>
    <w:rsid w:val="009A711B"/>
    <w:rsid w:val="009A7CE1"/>
    <w:rsid w:val="009B08B7"/>
    <w:rsid w:val="009B19A8"/>
    <w:rsid w:val="009B35CA"/>
    <w:rsid w:val="009B35FB"/>
    <w:rsid w:val="009C0048"/>
    <w:rsid w:val="009C127D"/>
    <w:rsid w:val="009C3674"/>
    <w:rsid w:val="009C47B1"/>
    <w:rsid w:val="009C58D0"/>
    <w:rsid w:val="009C6474"/>
    <w:rsid w:val="009C6AF9"/>
    <w:rsid w:val="009D16BF"/>
    <w:rsid w:val="009D2D2A"/>
    <w:rsid w:val="009D4E45"/>
    <w:rsid w:val="009D5AFF"/>
    <w:rsid w:val="009E3996"/>
    <w:rsid w:val="009E5839"/>
    <w:rsid w:val="009E5A1E"/>
    <w:rsid w:val="009E7AA0"/>
    <w:rsid w:val="009F3400"/>
    <w:rsid w:val="009F5169"/>
    <w:rsid w:val="00A01125"/>
    <w:rsid w:val="00A25A5F"/>
    <w:rsid w:val="00A30A32"/>
    <w:rsid w:val="00A41B13"/>
    <w:rsid w:val="00A4792D"/>
    <w:rsid w:val="00A50F3D"/>
    <w:rsid w:val="00A512A5"/>
    <w:rsid w:val="00A52A2F"/>
    <w:rsid w:val="00A52FC2"/>
    <w:rsid w:val="00A54D8F"/>
    <w:rsid w:val="00A55A40"/>
    <w:rsid w:val="00A56664"/>
    <w:rsid w:val="00A60BCA"/>
    <w:rsid w:val="00A60DFB"/>
    <w:rsid w:val="00A616E3"/>
    <w:rsid w:val="00A62570"/>
    <w:rsid w:val="00A65351"/>
    <w:rsid w:val="00A71448"/>
    <w:rsid w:val="00A742EC"/>
    <w:rsid w:val="00A76894"/>
    <w:rsid w:val="00A77E12"/>
    <w:rsid w:val="00A81C50"/>
    <w:rsid w:val="00A843E3"/>
    <w:rsid w:val="00A84C63"/>
    <w:rsid w:val="00A8741B"/>
    <w:rsid w:val="00A96995"/>
    <w:rsid w:val="00AA1A05"/>
    <w:rsid w:val="00AA26C2"/>
    <w:rsid w:val="00AB277A"/>
    <w:rsid w:val="00AB5410"/>
    <w:rsid w:val="00AB6D23"/>
    <w:rsid w:val="00AB71D1"/>
    <w:rsid w:val="00AC0768"/>
    <w:rsid w:val="00AC2CAA"/>
    <w:rsid w:val="00AC3D76"/>
    <w:rsid w:val="00AC426B"/>
    <w:rsid w:val="00AC4327"/>
    <w:rsid w:val="00AD0B7D"/>
    <w:rsid w:val="00AD15C1"/>
    <w:rsid w:val="00AD5C7E"/>
    <w:rsid w:val="00AE0279"/>
    <w:rsid w:val="00AE0DB1"/>
    <w:rsid w:val="00AE37C4"/>
    <w:rsid w:val="00AE7549"/>
    <w:rsid w:val="00AF0D16"/>
    <w:rsid w:val="00AF1FB6"/>
    <w:rsid w:val="00AF2D1A"/>
    <w:rsid w:val="00AF34E3"/>
    <w:rsid w:val="00AF4901"/>
    <w:rsid w:val="00AF519D"/>
    <w:rsid w:val="00AF5B69"/>
    <w:rsid w:val="00AF6AA4"/>
    <w:rsid w:val="00B02157"/>
    <w:rsid w:val="00B022C4"/>
    <w:rsid w:val="00B030AF"/>
    <w:rsid w:val="00B03AF1"/>
    <w:rsid w:val="00B05481"/>
    <w:rsid w:val="00B06BA0"/>
    <w:rsid w:val="00B07005"/>
    <w:rsid w:val="00B15737"/>
    <w:rsid w:val="00B27B28"/>
    <w:rsid w:val="00B27CBC"/>
    <w:rsid w:val="00B30652"/>
    <w:rsid w:val="00B318F6"/>
    <w:rsid w:val="00B31B1C"/>
    <w:rsid w:val="00B33017"/>
    <w:rsid w:val="00B3423F"/>
    <w:rsid w:val="00B4177B"/>
    <w:rsid w:val="00B430C9"/>
    <w:rsid w:val="00B43F14"/>
    <w:rsid w:val="00B50EEB"/>
    <w:rsid w:val="00B61F36"/>
    <w:rsid w:val="00B62FA6"/>
    <w:rsid w:val="00B634F8"/>
    <w:rsid w:val="00B66C85"/>
    <w:rsid w:val="00B7127C"/>
    <w:rsid w:val="00B7371D"/>
    <w:rsid w:val="00B7493E"/>
    <w:rsid w:val="00B75410"/>
    <w:rsid w:val="00B76C4B"/>
    <w:rsid w:val="00B779D0"/>
    <w:rsid w:val="00B77C87"/>
    <w:rsid w:val="00B808B1"/>
    <w:rsid w:val="00B81BA3"/>
    <w:rsid w:val="00B85489"/>
    <w:rsid w:val="00B9246D"/>
    <w:rsid w:val="00B96F07"/>
    <w:rsid w:val="00B97334"/>
    <w:rsid w:val="00BA0B33"/>
    <w:rsid w:val="00BA1482"/>
    <w:rsid w:val="00BA2529"/>
    <w:rsid w:val="00BA4EF2"/>
    <w:rsid w:val="00BA552C"/>
    <w:rsid w:val="00BA5E86"/>
    <w:rsid w:val="00BB3FC6"/>
    <w:rsid w:val="00BB7EA7"/>
    <w:rsid w:val="00BC5609"/>
    <w:rsid w:val="00BC5856"/>
    <w:rsid w:val="00BD428E"/>
    <w:rsid w:val="00BD56B2"/>
    <w:rsid w:val="00BE32CB"/>
    <w:rsid w:val="00BE34D8"/>
    <w:rsid w:val="00BE3ACE"/>
    <w:rsid w:val="00BE4474"/>
    <w:rsid w:val="00BE7B07"/>
    <w:rsid w:val="00BF2850"/>
    <w:rsid w:val="00BF421F"/>
    <w:rsid w:val="00C00A5B"/>
    <w:rsid w:val="00C02F7E"/>
    <w:rsid w:val="00C04E90"/>
    <w:rsid w:val="00C10A0C"/>
    <w:rsid w:val="00C1188C"/>
    <w:rsid w:val="00C11E65"/>
    <w:rsid w:val="00C12D97"/>
    <w:rsid w:val="00C1361E"/>
    <w:rsid w:val="00C1420C"/>
    <w:rsid w:val="00C15BF2"/>
    <w:rsid w:val="00C162F5"/>
    <w:rsid w:val="00C16F7F"/>
    <w:rsid w:val="00C17BBB"/>
    <w:rsid w:val="00C20B9D"/>
    <w:rsid w:val="00C21688"/>
    <w:rsid w:val="00C217BE"/>
    <w:rsid w:val="00C238DD"/>
    <w:rsid w:val="00C275F7"/>
    <w:rsid w:val="00C32663"/>
    <w:rsid w:val="00C342E1"/>
    <w:rsid w:val="00C36E51"/>
    <w:rsid w:val="00C4219E"/>
    <w:rsid w:val="00C432CD"/>
    <w:rsid w:val="00C447E3"/>
    <w:rsid w:val="00C46000"/>
    <w:rsid w:val="00C47C66"/>
    <w:rsid w:val="00C52365"/>
    <w:rsid w:val="00C53236"/>
    <w:rsid w:val="00C53AE7"/>
    <w:rsid w:val="00C56B72"/>
    <w:rsid w:val="00C60FC0"/>
    <w:rsid w:val="00C6213C"/>
    <w:rsid w:val="00C64BA3"/>
    <w:rsid w:val="00C676FF"/>
    <w:rsid w:val="00C67EE2"/>
    <w:rsid w:val="00C72C1A"/>
    <w:rsid w:val="00C743D6"/>
    <w:rsid w:val="00C74D55"/>
    <w:rsid w:val="00C74DFA"/>
    <w:rsid w:val="00C753D6"/>
    <w:rsid w:val="00C824F7"/>
    <w:rsid w:val="00C83891"/>
    <w:rsid w:val="00C85229"/>
    <w:rsid w:val="00C9011B"/>
    <w:rsid w:val="00C93F0A"/>
    <w:rsid w:val="00C97ABD"/>
    <w:rsid w:val="00CA3931"/>
    <w:rsid w:val="00CA3A2D"/>
    <w:rsid w:val="00CB0648"/>
    <w:rsid w:val="00CB0773"/>
    <w:rsid w:val="00CB3B9C"/>
    <w:rsid w:val="00CB7EDA"/>
    <w:rsid w:val="00CC5453"/>
    <w:rsid w:val="00CC64D7"/>
    <w:rsid w:val="00CD1AB5"/>
    <w:rsid w:val="00CD32DC"/>
    <w:rsid w:val="00CD57EB"/>
    <w:rsid w:val="00CD6951"/>
    <w:rsid w:val="00CD6BDE"/>
    <w:rsid w:val="00CE02A3"/>
    <w:rsid w:val="00CE3122"/>
    <w:rsid w:val="00CE355B"/>
    <w:rsid w:val="00CE3C7E"/>
    <w:rsid w:val="00CF087F"/>
    <w:rsid w:val="00CF0D2D"/>
    <w:rsid w:val="00CF0F0F"/>
    <w:rsid w:val="00CF42F1"/>
    <w:rsid w:val="00D01196"/>
    <w:rsid w:val="00D038EC"/>
    <w:rsid w:val="00D104E7"/>
    <w:rsid w:val="00D11BC3"/>
    <w:rsid w:val="00D16F2E"/>
    <w:rsid w:val="00D208AF"/>
    <w:rsid w:val="00D21115"/>
    <w:rsid w:val="00D251C6"/>
    <w:rsid w:val="00D2533A"/>
    <w:rsid w:val="00D27DD0"/>
    <w:rsid w:val="00D403A9"/>
    <w:rsid w:val="00D43CF1"/>
    <w:rsid w:val="00D518C1"/>
    <w:rsid w:val="00D52737"/>
    <w:rsid w:val="00D6174F"/>
    <w:rsid w:val="00D61F26"/>
    <w:rsid w:val="00D64A9E"/>
    <w:rsid w:val="00D64AE4"/>
    <w:rsid w:val="00D7551E"/>
    <w:rsid w:val="00D772F7"/>
    <w:rsid w:val="00D7775F"/>
    <w:rsid w:val="00D777D5"/>
    <w:rsid w:val="00D80244"/>
    <w:rsid w:val="00D875A6"/>
    <w:rsid w:val="00D958CD"/>
    <w:rsid w:val="00D968AD"/>
    <w:rsid w:val="00D97AA2"/>
    <w:rsid w:val="00DA0B3B"/>
    <w:rsid w:val="00DA0FA6"/>
    <w:rsid w:val="00DA6EC1"/>
    <w:rsid w:val="00DB2682"/>
    <w:rsid w:val="00DB28FB"/>
    <w:rsid w:val="00DB4838"/>
    <w:rsid w:val="00DB5A91"/>
    <w:rsid w:val="00DB606A"/>
    <w:rsid w:val="00DB6308"/>
    <w:rsid w:val="00DB72AF"/>
    <w:rsid w:val="00DC0CF4"/>
    <w:rsid w:val="00DC2A3D"/>
    <w:rsid w:val="00DC2E12"/>
    <w:rsid w:val="00DC3094"/>
    <w:rsid w:val="00DC6AD4"/>
    <w:rsid w:val="00DC6D5A"/>
    <w:rsid w:val="00DD1050"/>
    <w:rsid w:val="00DD20CC"/>
    <w:rsid w:val="00DD6D42"/>
    <w:rsid w:val="00DE0008"/>
    <w:rsid w:val="00DE1DA6"/>
    <w:rsid w:val="00DE75F1"/>
    <w:rsid w:val="00DF2A7A"/>
    <w:rsid w:val="00DF2A91"/>
    <w:rsid w:val="00DF3F6E"/>
    <w:rsid w:val="00DF5CE3"/>
    <w:rsid w:val="00DF67A5"/>
    <w:rsid w:val="00DF76E4"/>
    <w:rsid w:val="00E018C7"/>
    <w:rsid w:val="00E023B6"/>
    <w:rsid w:val="00E06108"/>
    <w:rsid w:val="00E10DF7"/>
    <w:rsid w:val="00E133DD"/>
    <w:rsid w:val="00E22873"/>
    <w:rsid w:val="00E277D0"/>
    <w:rsid w:val="00E3370F"/>
    <w:rsid w:val="00E34F85"/>
    <w:rsid w:val="00E40087"/>
    <w:rsid w:val="00E414F7"/>
    <w:rsid w:val="00E43DBB"/>
    <w:rsid w:val="00E4595E"/>
    <w:rsid w:val="00E52996"/>
    <w:rsid w:val="00E52C23"/>
    <w:rsid w:val="00E54531"/>
    <w:rsid w:val="00E5520D"/>
    <w:rsid w:val="00E602B2"/>
    <w:rsid w:val="00E60FDD"/>
    <w:rsid w:val="00E625A2"/>
    <w:rsid w:val="00E6387B"/>
    <w:rsid w:val="00E659FB"/>
    <w:rsid w:val="00E66DA3"/>
    <w:rsid w:val="00E66F40"/>
    <w:rsid w:val="00E73BAC"/>
    <w:rsid w:val="00E73FCE"/>
    <w:rsid w:val="00E7539D"/>
    <w:rsid w:val="00E77047"/>
    <w:rsid w:val="00E8114F"/>
    <w:rsid w:val="00E82C7E"/>
    <w:rsid w:val="00E83390"/>
    <w:rsid w:val="00E85A0E"/>
    <w:rsid w:val="00E93B12"/>
    <w:rsid w:val="00E94632"/>
    <w:rsid w:val="00E95935"/>
    <w:rsid w:val="00EA2ECC"/>
    <w:rsid w:val="00EA4472"/>
    <w:rsid w:val="00EB0607"/>
    <w:rsid w:val="00EB3C2D"/>
    <w:rsid w:val="00EB4C38"/>
    <w:rsid w:val="00EB693E"/>
    <w:rsid w:val="00EC17BF"/>
    <w:rsid w:val="00EC1E4D"/>
    <w:rsid w:val="00EC25C1"/>
    <w:rsid w:val="00EC33AE"/>
    <w:rsid w:val="00EC57C7"/>
    <w:rsid w:val="00EC6FF1"/>
    <w:rsid w:val="00EC725A"/>
    <w:rsid w:val="00EC7C42"/>
    <w:rsid w:val="00ED0992"/>
    <w:rsid w:val="00ED09AE"/>
    <w:rsid w:val="00ED0CE6"/>
    <w:rsid w:val="00ED4321"/>
    <w:rsid w:val="00ED5546"/>
    <w:rsid w:val="00ED6B2A"/>
    <w:rsid w:val="00EE1F97"/>
    <w:rsid w:val="00EE7CEB"/>
    <w:rsid w:val="00EF1DFB"/>
    <w:rsid w:val="00EF4454"/>
    <w:rsid w:val="00EF7C58"/>
    <w:rsid w:val="00F045C7"/>
    <w:rsid w:val="00F101F9"/>
    <w:rsid w:val="00F13AFD"/>
    <w:rsid w:val="00F23191"/>
    <w:rsid w:val="00F23430"/>
    <w:rsid w:val="00F25BB3"/>
    <w:rsid w:val="00F3007E"/>
    <w:rsid w:val="00F322DC"/>
    <w:rsid w:val="00F3239C"/>
    <w:rsid w:val="00F341C0"/>
    <w:rsid w:val="00F36256"/>
    <w:rsid w:val="00F36529"/>
    <w:rsid w:val="00F40F55"/>
    <w:rsid w:val="00F44181"/>
    <w:rsid w:val="00F453E2"/>
    <w:rsid w:val="00F46908"/>
    <w:rsid w:val="00F47F2F"/>
    <w:rsid w:val="00F5037C"/>
    <w:rsid w:val="00F50468"/>
    <w:rsid w:val="00F53D30"/>
    <w:rsid w:val="00F547A6"/>
    <w:rsid w:val="00F55A0B"/>
    <w:rsid w:val="00F55D13"/>
    <w:rsid w:val="00F60C1D"/>
    <w:rsid w:val="00F65B34"/>
    <w:rsid w:val="00F66E8D"/>
    <w:rsid w:val="00F71923"/>
    <w:rsid w:val="00F74BDA"/>
    <w:rsid w:val="00F82B1E"/>
    <w:rsid w:val="00F83279"/>
    <w:rsid w:val="00F879C8"/>
    <w:rsid w:val="00F95207"/>
    <w:rsid w:val="00FA1BC6"/>
    <w:rsid w:val="00FA3CEC"/>
    <w:rsid w:val="00FA6A28"/>
    <w:rsid w:val="00FA7286"/>
    <w:rsid w:val="00FB1827"/>
    <w:rsid w:val="00FB4FD2"/>
    <w:rsid w:val="00FB7D4A"/>
    <w:rsid w:val="00FC433C"/>
    <w:rsid w:val="00FC4DB7"/>
    <w:rsid w:val="00FC52B8"/>
    <w:rsid w:val="00FC5BE7"/>
    <w:rsid w:val="00FC5E84"/>
    <w:rsid w:val="00FD017A"/>
    <w:rsid w:val="00FD15CB"/>
    <w:rsid w:val="00FD3F97"/>
    <w:rsid w:val="00FD4189"/>
    <w:rsid w:val="00FD56CC"/>
    <w:rsid w:val="00FD66AA"/>
    <w:rsid w:val="00FE09B5"/>
    <w:rsid w:val="00FE49CC"/>
    <w:rsid w:val="00FE4FFE"/>
    <w:rsid w:val="00FE5CCD"/>
    <w:rsid w:val="00FF1872"/>
    <w:rsid w:val="00FF2519"/>
    <w:rsid w:val="00FF27D0"/>
    <w:rsid w:val="00FF3C2E"/>
    <w:rsid w:val="00FF459E"/>
    <w:rsid w:val="00FF5614"/>
    <w:rsid w:val="00FF6C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83A6"/>
  <w15:chartTrackingRefBased/>
  <w15:docId w15:val="{CC4A3485-237C-4300-ACCB-731C14F8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B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B72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72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DB72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72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72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72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72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72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B72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B72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B72AF"/>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DB72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B72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72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72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72AF"/>
    <w:rPr>
      <w:rFonts w:eastAsiaTheme="majorEastAsia" w:cstheme="majorBidi"/>
      <w:color w:val="272727" w:themeColor="text1" w:themeTint="D8"/>
    </w:rPr>
  </w:style>
  <w:style w:type="paragraph" w:styleId="Titre">
    <w:name w:val="Title"/>
    <w:basedOn w:val="Normal"/>
    <w:next w:val="Normal"/>
    <w:link w:val="TitreCar"/>
    <w:uiPriority w:val="10"/>
    <w:qFormat/>
    <w:rsid w:val="00DB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72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72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72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72AF"/>
    <w:pPr>
      <w:spacing w:before="160"/>
      <w:jc w:val="center"/>
    </w:pPr>
    <w:rPr>
      <w:i/>
      <w:iCs/>
      <w:color w:val="404040" w:themeColor="text1" w:themeTint="BF"/>
    </w:rPr>
  </w:style>
  <w:style w:type="character" w:customStyle="1" w:styleId="CitationCar">
    <w:name w:val="Citation Car"/>
    <w:basedOn w:val="Policepardfaut"/>
    <w:link w:val="Citation"/>
    <w:uiPriority w:val="29"/>
    <w:rsid w:val="00DB72AF"/>
    <w:rPr>
      <w:i/>
      <w:iCs/>
      <w:color w:val="404040" w:themeColor="text1" w:themeTint="BF"/>
    </w:rPr>
  </w:style>
  <w:style w:type="paragraph" w:styleId="Paragraphedeliste">
    <w:name w:val="List Paragraph"/>
    <w:basedOn w:val="Normal"/>
    <w:uiPriority w:val="34"/>
    <w:qFormat/>
    <w:rsid w:val="00DB72AF"/>
    <w:pPr>
      <w:ind w:left="720"/>
      <w:contextualSpacing/>
    </w:pPr>
  </w:style>
  <w:style w:type="character" w:styleId="Accentuationintense">
    <w:name w:val="Intense Emphasis"/>
    <w:basedOn w:val="Policepardfaut"/>
    <w:uiPriority w:val="21"/>
    <w:qFormat/>
    <w:rsid w:val="00DB72AF"/>
    <w:rPr>
      <w:i/>
      <w:iCs/>
      <w:color w:val="0F4761" w:themeColor="accent1" w:themeShade="BF"/>
    </w:rPr>
  </w:style>
  <w:style w:type="paragraph" w:styleId="Citationintense">
    <w:name w:val="Intense Quote"/>
    <w:basedOn w:val="Normal"/>
    <w:next w:val="Normal"/>
    <w:link w:val="CitationintenseCar"/>
    <w:uiPriority w:val="30"/>
    <w:qFormat/>
    <w:rsid w:val="00DB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72AF"/>
    <w:rPr>
      <w:i/>
      <w:iCs/>
      <w:color w:val="0F4761" w:themeColor="accent1" w:themeShade="BF"/>
    </w:rPr>
  </w:style>
  <w:style w:type="character" w:styleId="Rfrenceintense">
    <w:name w:val="Intense Reference"/>
    <w:basedOn w:val="Policepardfaut"/>
    <w:uiPriority w:val="32"/>
    <w:qFormat/>
    <w:rsid w:val="00DB72AF"/>
    <w:rPr>
      <w:b/>
      <w:bCs/>
      <w:smallCaps/>
      <w:color w:val="0F4761" w:themeColor="accent1" w:themeShade="BF"/>
      <w:spacing w:val="5"/>
    </w:rPr>
  </w:style>
  <w:style w:type="paragraph" w:customStyle="1" w:styleId="pf0">
    <w:name w:val="pf0"/>
    <w:basedOn w:val="Normal"/>
    <w:rsid w:val="008C7166"/>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cf01">
    <w:name w:val="cf01"/>
    <w:basedOn w:val="Policepardfaut"/>
    <w:rsid w:val="008C7166"/>
    <w:rPr>
      <w:rFonts w:ascii="Segoe UI" w:hAnsi="Segoe UI" w:cs="Segoe UI" w:hint="default"/>
      <w:sz w:val="18"/>
      <w:szCs w:val="18"/>
    </w:rPr>
  </w:style>
  <w:style w:type="paragraph" w:styleId="Commentaire">
    <w:name w:val="annotation text"/>
    <w:basedOn w:val="Normal"/>
    <w:link w:val="CommentaireCar"/>
    <w:uiPriority w:val="99"/>
    <w:unhideWhenUsed/>
    <w:rsid w:val="00F50468"/>
    <w:pPr>
      <w:spacing w:after="0" w:line="240" w:lineRule="auto"/>
    </w:pPr>
    <w:rPr>
      <w:rFonts w:ascii="Arial" w:eastAsia="Arial" w:hAnsi="Arial" w:cs="Arial"/>
      <w:kern w:val="0"/>
      <w:sz w:val="20"/>
      <w:szCs w:val="20"/>
      <w:lang w:val="en"/>
      <w14:ligatures w14:val="none"/>
    </w:rPr>
  </w:style>
  <w:style w:type="character" w:customStyle="1" w:styleId="CommentaireCar">
    <w:name w:val="Commentaire Car"/>
    <w:basedOn w:val="Policepardfaut"/>
    <w:link w:val="Commentaire"/>
    <w:uiPriority w:val="99"/>
    <w:rsid w:val="00F50468"/>
    <w:rPr>
      <w:rFonts w:ascii="Arial" w:eastAsia="Arial" w:hAnsi="Arial" w:cs="Arial"/>
      <w:kern w:val="0"/>
      <w:sz w:val="20"/>
      <w:szCs w:val="20"/>
      <w:lang w:val="en"/>
      <w14:ligatures w14:val="none"/>
    </w:rPr>
  </w:style>
  <w:style w:type="character" w:styleId="Marquedecommentaire">
    <w:name w:val="annotation reference"/>
    <w:basedOn w:val="Policepardfaut"/>
    <w:uiPriority w:val="99"/>
    <w:semiHidden/>
    <w:unhideWhenUsed/>
    <w:rsid w:val="00F50468"/>
    <w:rPr>
      <w:sz w:val="16"/>
      <w:szCs w:val="16"/>
    </w:rPr>
  </w:style>
  <w:style w:type="paragraph" w:styleId="Sansinterligne">
    <w:name w:val="No Spacing"/>
    <w:uiPriority w:val="1"/>
    <w:qFormat/>
    <w:rsid w:val="007F05E7"/>
    <w:pPr>
      <w:spacing w:after="0" w:line="240" w:lineRule="auto"/>
    </w:pPr>
  </w:style>
  <w:style w:type="character" w:customStyle="1" w:styleId="Aucun">
    <w:name w:val="Aucun"/>
    <w:rsid w:val="009C58D0"/>
    <w:rPr>
      <w:lang w:val="fr-FR"/>
    </w:rPr>
  </w:style>
  <w:style w:type="paragraph" w:styleId="Notedebasdepage">
    <w:name w:val="footnote text"/>
    <w:basedOn w:val="Normal"/>
    <w:link w:val="NotedebasdepageCar"/>
    <w:uiPriority w:val="99"/>
    <w:semiHidden/>
    <w:unhideWhenUsed/>
    <w:rsid w:val="006554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54F2"/>
    <w:rPr>
      <w:sz w:val="20"/>
      <w:szCs w:val="20"/>
    </w:rPr>
  </w:style>
  <w:style w:type="character" w:styleId="Appelnotedebasdep">
    <w:name w:val="footnote reference"/>
    <w:basedOn w:val="Policepardfaut"/>
    <w:uiPriority w:val="99"/>
    <w:semiHidden/>
    <w:unhideWhenUsed/>
    <w:rsid w:val="006554F2"/>
    <w:rPr>
      <w:vertAlign w:val="superscript"/>
    </w:rPr>
  </w:style>
  <w:style w:type="paragraph" w:styleId="NormalWeb">
    <w:name w:val="Normal (Web)"/>
    <w:basedOn w:val="Normal"/>
    <w:uiPriority w:val="99"/>
    <w:unhideWhenUsed/>
    <w:rsid w:val="006E2CD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E2CD1"/>
    <w:rPr>
      <w:b/>
      <w:bCs/>
    </w:rPr>
  </w:style>
  <w:style w:type="paragraph" w:customStyle="1" w:styleId="CorpsA">
    <w:name w:val="Corps A"/>
    <w:rsid w:val="000B4E7B"/>
    <w:pPr>
      <w:pBdr>
        <w:top w:val="nil"/>
        <w:left w:val="nil"/>
        <w:bottom w:val="nil"/>
        <w:right w:val="nil"/>
        <w:between w:val="nil"/>
        <w:bar w:val="nil"/>
      </w:pBdr>
    </w:pPr>
    <w:rPr>
      <w:rFonts w:ascii="Aptos" w:eastAsia="Aptos" w:hAnsi="Aptos" w:cs="Aptos"/>
      <w:color w:val="000000"/>
      <w:u w:color="000000"/>
      <w:bdr w:val="nil"/>
      <w:lang w:eastAsia="fr-FR"/>
      <w14:textOutline w14:w="12700" w14:cap="flat" w14:cmpd="sng" w14:algn="ctr">
        <w14:noFill/>
        <w14:prstDash w14:val="solid"/>
        <w14:miter w14:lim="400000"/>
      </w14:textOutline>
      <w14:ligatures w14:val="none"/>
    </w:rPr>
  </w:style>
  <w:style w:type="paragraph" w:styleId="Textebrut">
    <w:name w:val="Plain Text"/>
    <w:basedOn w:val="Normal"/>
    <w:link w:val="TextebrutCar"/>
    <w:uiPriority w:val="99"/>
    <w:semiHidden/>
    <w:unhideWhenUsed/>
    <w:rsid w:val="00D208A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D208A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5689">
      <w:bodyDiv w:val="1"/>
      <w:marLeft w:val="0"/>
      <w:marRight w:val="0"/>
      <w:marTop w:val="0"/>
      <w:marBottom w:val="0"/>
      <w:divBdr>
        <w:top w:val="none" w:sz="0" w:space="0" w:color="auto"/>
        <w:left w:val="none" w:sz="0" w:space="0" w:color="auto"/>
        <w:bottom w:val="none" w:sz="0" w:space="0" w:color="auto"/>
        <w:right w:val="none" w:sz="0" w:space="0" w:color="auto"/>
      </w:divBdr>
    </w:div>
    <w:div w:id="147596920">
      <w:bodyDiv w:val="1"/>
      <w:marLeft w:val="0"/>
      <w:marRight w:val="0"/>
      <w:marTop w:val="0"/>
      <w:marBottom w:val="0"/>
      <w:divBdr>
        <w:top w:val="none" w:sz="0" w:space="0" w:color="auto"/>
        <w:left w:val="none" w:sz="0" w:space="0" w:color="auto"/>
        <w:bottom w:val="none" w:sz="0" w:space="0" w:color="auto"/>
        <w:right w:val="none" w:sz="0" w:space="0" w:color="auto"/>
      </w:divBdr>
    </w:div>
    <w:div w:id="160388465">
      <w:bodyDiv w:val="1"/>
      <w:marLeft w:val="0"/>
      <w:marRight w:val="0"/>
      <w:marTop w:val="0"/>
      <w:marBottom w:val="0"/>
      <w:divBdr>
        <w:top w:val="none" w:sz="0" w:space="0" w:color="auto"/>
        <w:left w:val="none" w:sz="0" w:space="0" w:color="auto"/>
        <w:bottom w:val="none" w:sz="0" w:space="0" w:color="auto"/>
        <w:right w:val="none" w:sz="0" w:space="0" w:color="auto"/>
      </w:divBdr>
    </w:div>
    <w:div w:id="183981642">
      <w:bodyDiv w:val="1"/>
      <w:marLeft w:val="0"/>
      <w:marRight w:val="0"/>
      <w:marTop w:val="0"/>
      <w:marBottom w:val="0"/>
      <w:divBdr>
        <w:top w:val="none" w:sz="0" w:space="0" w:color="auto"/>
        <w:left w:val="none" w:sz="0" w:space="0" w:color="auto"/>
        <w:bottom w:val="none" w:sz="0" w:space="0" w:color="auto"/>
        <w:right w:val="none" w:sz="0" w:space="0" w:color="auto"/>
      </w:divBdr>
    </w:div>
    <w:div w:id="306399793">
      <w:bodyDiv w:val="1"/>
      <w:marLeft w:val="0"/>
      <w:marRight w:val="0"/>
      <w:marTop w:val="0"/>
      <w:marBottom w:val="0"/>
      <w:divBdr>
        <w:top w:val="none" w:sz="0" w:space="0" w:color="auto"/>
        <w:left w:val="none" w:sz="0" w:space="0" w:color="auto"/>
        <w:bottom w:val="none" w:sz="0" w:space="0" w:color="auto"/>
        <w:right w:val="none" w:sz="0" w:space="0" w:color="auto"/>
      </w:divBdr>
    </w:div>
    <w:div w:id="307629820">
      <w:bodyDiv w:val="1"/>
      <w:marLeft w:val="0"/>
      <w:marRight w:val="0"/>
      <w:marTop w:val="0"/>
      <w:marBottom w:val="0"/>
      <w:divBdr>
        <w:top w:val="none" w:sz="0" w:space="0" w:color="auto"/>
        <w:left w:val="none" w:sz="0" w:space="0" w:color="auto"/>
        <w:bottom w:val="none" w:sz="0" w:space="0" w:color="auto"/>
        <w:right w:val="none" w:sz="0" w:space="0" w:color="auto"/>
      </w:divBdr>
    </w:div>
    <w:div w:id="368997029">
      <w:bodyDiv w:val="1"/>
      <w:marLeft w:val="0"/>
      <w:marRight w:val="0"/>
      <w:marTop w:val="0"/>
      <w:marBottom w:val="0"/>
      <w:divBdr>
        <w:top w:val="none" w:sz="0" w:space="0" w:color="auto"/>
        <w:left w:val="none" w:sz="0" w:space="0" w:color="auto"/>
        <w:bottom w:val="none" w:sz="0" w:space="0" w:color="auto"/>
        <w:right w:val="none" w:sz="0" w:space="0" w:color="auto"/>
      </w:divBdr>
    </w:div>
    <w:div w:id="550073441">
      <w:bodyDiv w:val="1"/>
      <w:marLeft w:val="0"/>
      <w:marRight w:val="0"/>
      <w:marTop w:val="0"/>
      <w:marBottom w:val="0"/>
      <w:divBdr>
        <w:top w:val="none" w:sz="0" w:space="0" w:color="auto"/>
        <w:left w:val="none" w:sz="0" w:space="0" w:color="auto"/>
        <w:bottom w:val="none" w:sz="0" w:space="0" w:color="auto"/>
        <w:right w:val="none" w:sz="0" w:space="0" w:color="auto"/>
      </w:divBdr>
    </w:div>
    <w:div w:id="640161888">
      <w:bodyDiv w:val="1"/>
      <w:marLeft w:val="0"/>
      <w:marRight w:val="0"/>
      <w:marTop w:val="0"/>
      <w:marBottom w:val="0"/>
      <w:divBdr>
        <w:top w:val="none" w:sz="0" w:space="0" w:color="auto"/>
        <w:left w:val="none" w:sz="0" w:space="0" w:color="auto"/>
        <w:bottom w:val="none" w:sz="0" w:space="0" w:color="auto"/>
        <w:right w:val="none" w:sz="0" w:space="0" w:color="auto"/>
      </w:divBdr>
    </w:div>
    <w:div w:id="642151544">
      <w:bodyDiv w:val="1"/>
      <w:marLeft w:val="0"/>
      <w:marRight w:val="0"/>
      <w:marTop w:val="0"/>
      <w:marBottom w:val="0"/>
      <w:divBdr>
        <w:top w:val="none" w:sz="0" w:space="0" w:color="auto"/>
        <w:left w:val="none" w:sz="0" w:space="0" w:color="auto"/>
        <w:bottom w:val="none" w:sz="0" w:space="0" w:color="auto"/>
        <w:right w:val="none" w:sz="0" w:space="0" w:color="auto"/>
      </w:divBdr>
      <w:divsChild>
        <w:div w:id="371541588">
          <w:marLeft w:val="547"/>
          <w:marRight w:val="0"/>
          <w:marTop w:val="0"/>
          <w:marBottom w:val="0"/>
          <w:divBdr>
            <w:top w:val="none" w:sz="0" w:space="0" w:color="auto"/>
            <w:left w:val="none" w:sz="0" w:space="0" w:color="auto"/>
            <w:bottom w:val="none" w:sz="0" w:space="0" w:color="auto"/>
            <w:right w:val="none" w:sz="0" w:space="0" w:color="auto"/>
          </w:divBdr>
        </w:div>
      </w:divsChild>
    </w:div>
    <w:div w:id="755247025">
      <w:bodyDiv w:val="1"/>
      <w:marLeft w:val="0"/>
      <w:marRight w:val="0"/>
      <w:marTop w:val="0"/>
      <w:marBottom w:val="0"/>
      <w:divBdr>
        <w:top w:val="none" w:sz="0" w:space="0" w:color="auto"/>
        <w:left w:val="none" w:sz="0" w:space="0" w:color="auto"/>
        <w:bottom w:val="none" w:sz="0" w:space="0" w:color="auto"/>
        <w:right w:val="none" w:sz="0" w:space="0" w:color="auto"/>
      </w:divBdr>
    </w:div>
    <w:div w:id="812143042">
      <w:bodyDiv w:val="1"/>
      <w:marLeft w:val="0"/>
      <w:marRight w:val="0"/>
      <w:marTop w:val="0"/>
      <w:marBottom w:val="0"/>
      <w:divBdr>
        <w:top w:val="none" w:sz="0" w:space="0" w:color="auto"/>
        <w:left w:val="none" w:sz="0" w:space="0" w:color="auto"/>
        <w:bottom w:val="none" w:sz="0" w:space="0" w:color="auto"/>
        <w:right w:val="none" w:sz="0" w:space="0" w:color="auto"/>
      </w:divBdr>
    </w:div>
    <w:div w:id="848131634">
      <w:bodyDiv w:val="1"/>
      <w:marLeft w:val="0"/>
      <w:marRight w:val="0"/>
      <w:marTop w:val="0"/>
      <w:marBottom w:val="0"/>
      <w:divBdr>
        <w:top w:val="none" w:sz="0" w:space="0" w:color="auto"/>
        <w:left w:val="none" w:sz="0" w:space="0" w:color="auto"/>
        <w:bottom w:val="none" w:sz="0" w:space="0" w:color="auto"/>
        <w:right w:val="none" w:sz="0" w:space="0" w:color="auto"/>
      </w:divBdr>
    </w:div>
    <w:div w:id="937104175">
      <w:bodyDiv w:val="1"/>
      <w:marLeft w:val="0"/>
      <w:marRight w:val="0"/>
      <w:marTop w:val="0"/>
      <w:marBottom w:val="0"/>
      <w:divBdr>
        <w:top w:val="none" w:sz="0" w:space="0" w:color="auto"/>
        <w:left w:val="none" w:sz="0" w:space="0" w:color="auto"/>
        <w:bottom w:val="none" w:sz="0" w:space="0" w:color="auto"/>
        <w:right w:val="none" w:sz="0" w:space="0" w:color="auto"/>
      </w:divBdr>
    </w:div>
    <w:div w:id="986400367">
      <w:bodyDiv w:val="1"/>
      <w:marLeft w:val="0"/>
      <w:marRight w:val="0"/>
      <w:marTop w:val="0"/>
      <w:marBottom w:val="0"/>
      <w:divBdr>
        <w:top w:val="none" w:sz="0" w:space="0" w:color="auto"/>
        <w:left w:val="none" w:sz="0" w:space="0" w:color="auto"/>
        <w:bottom w:val="none" w:sz="0" w:space="0" w:color="auto"/>
        <w:right w:val="none" w:sz="0" w:space="0" w:color="auto"/>
      </w:divBdr>
    </w:div>
    <w:div w:id="987589189">
      <w:bodyDiv w:val="1"/>
      <w:marLeft w:val="0"/>
      <w:marRight w:val="0"/>
      <w:marTop w:val="0"/>
      <w:marBottom w:val="0"/>
      <w:divBdr>
        <w:top w:val="none" w:sz="0" w:space="0" w:color="auto"/>
        <w:left w:val="none" w:sz="0" w:space="0" w:color="auto"/>
        <w:bottom w:val="none" w:sz="0" w:space="0" w:color="auto"/>
        <w:right w:val="none" w:sz="0" w:space="0" w:color="auto"/>
      </w:divBdr>
    </w:div>
    <w:div w:id="997997360">
      <w:bodyDiv w:val="1"/>
      <w:marLeft w:val="0"/>
      <w:marRight w:val="0"/>
      <w:marTop w:val="0"/>
      <w:marBottom w:val="0"/>
      <w:divBdr>
        <w:top w:val="none" w:sz="0" w:space="0" w:color="auto"/>
        <w:left w:val="none" w:sz="0" w:space="0" w:color="auto"/>
        <w:bottom w:val="none" w:sz="0" w:space="0" w:color="auto"/>
        <w:right w:val="none" w:sz="0" w:space="0" w:color="auto"/>
      </w:divBdr>
    </w:div>
    <w:div w:id="1035233247">
      <w:bodyDiv w:val="1"/>
      <w:marLeft w:val="0"/>
      <w:marRight w:val="0"/>
      <w:marTop w:val="0"/>
      <w:marBottom w:val="0"/>
      <w:divBdr>
        <w:top w:val="none" w:sz="0" w:space="0" w:color="auto"/>
        <w:left w:val="none" w:sz="0" w:space="0" w:color="auto"/>
        <w:bottom w:val="none" w:sz="0" w:space="0" w:color="auto"/>
        <w:right w:val="none" w:sz="0" w:space="0" w:color="auto"/>
      </w:divBdr>
    </w:div>
    <w:div w:id="1040279804">
      <w:bodyDiv w:val="1"/>
      <w:marLeft w:val="0"/>
      <w:marRight w:val="0"/>
      <w:marTop w:val="0"/>
      <w:marBottom w:val="0"/>
      <w:divBdr>
        <w:top w:val="none" w:sz="0" w:space="0" w:color="auto"/>
        <w:left w:val="none" w:sz="0" w:space="0" w:color="auto"/>
        <w:bottom w:val="none" w:sz="0" w:space="0" w:color="auto"/>
        <w:right w:val="none" w:sz="0" w:space="0" w:color="auto"/>
      </w:divBdr>
    </w:div>
    <w:div w:id="1053306356">
      <w:bodyDiv w:val="1"/>
      <w:marLeft w:val="0"/>
      <w:marRight w:val="0"/>
      <w:marTop w:val="0"/>
      <w:marBottom w:val="0"/>
      <w:divBdr>
        <w:top w:val="none" w:sz="0" w:space="0" w:color="auto"/>
        <w:left w:val="none" w:sz="0" w:space="0" w:color="auto"/>
        <w:bottom w:val="none" w:sz="0" w:space="0" w:color="auto"/>
        <w:right w:val="none" w:sz="0" w:space="0" w:color="auto"/>
      </w:divBdr>
    </w:div>
    <w:div w:id="1179271444">
      <w:bodyDiv w:val="1"/>
      <w:marLeft w:val="0"/>
      <w:marRight w:val="0"/>
      <w:marTop w:val="0"/>
      <w:marBottom w:val="0"/>
      <w:divBdr>
        <w:top w:val="none" w:sz="0" w:space="0" w:color="auto"/>
        <w:left w:val="none" w:sz="0" w:space="0" w:color="auto"/>
        <w:bottom w:val="none" w:sz="0" w:space="0" w:color="auto"/>
        <w:right w:val="none" w:sz="0" w:space="0" w:color="auto"/>
      </w:divBdr>
    </w:div>
    <w:div w:id="1252855472">
      <w:bodyDiv w:val="1"/>
      <w:marLeft w:val="0"/>
      <w:marRight w:val="0"/>
      <w:marTop w:val="0"/>
      <w:marBottom w:val="0"/>
      <w:divBdr>
        <w:top w:val="none" w:sz="0" w:space="0" w:color="auto"/>
        <w:left w:val="none" w:sz="0" w:space="0" w:color="auto"/>
        <w:bottom w:val="none" w:sz="0" w:space="0" w:color="auto"/>
        <w:right w:val="none" w:sz="0" w:space="0" w:color="auto"/>
      </w:divBdr>
    </w:div>
    <w:div w:id="1270435361">
      <w:bodyDiv w:val="1"/>
      <w:marLeft w:val="0"/>
      <w:marRight w:val="0"/>
      <w:marTop w:val="0"/>
      <w:marBottom w:val="0"/>
      <w:divBdr>
        <w:top w:val="none" w:sz="0" w:space="0" w:color="auto"/>
        <w:left w:val="none" w:sz="0" w:space="0" w:color="auto"/>
        <w:bottom w:val="none" w:sz="0" w:space="0" w:color="auto"/>
        <w:right w:val="none" w:sz="0" w:space="0" w:color="auto"/>
      </w:divBdr>
    </w:div>
    <w:div w:id="1347441149">
      <w:bodyDiv w:val="1"/>
      <w:marLeft w:val="0"/>
      <w:marRight w:val="0"/>
      <w:marTop w:val="0"/>
      <w:marBottom w:val="0"/>
      <w:divBdr>
        <w:top w:val="none" w:sz="0" w:space="0" w:color="auto"/>
        <w:left w:val="none" w:sz="0" w:space="0" w:color="auto"/>
        <w:bottom w:val="none" w:sz="0" w:space="0" w:color="auto"/>
        <w:right w:val="none" w:sz="0" w:space="0" w:color="auto"/>
      </w:divBdr>
    </w:div>
    <w:div w:id="1390306645">
      <w:bodyDiv w:val="1"/>
      <w:marLeft w:val="0"/>
      <w:marRight w:val="0"/>
      <w:marTop w:val="0"/>
      <w:marBottom w:val="0"/>
      <w:divBdr>
        <w:top w:val="none" w:sz="0" w:space="0" w:color="auto"/>
        <w:left w:val="none" w:sz="0" w:space="0" w:color="auto"/>
        <w:bottom w:val="none" w:sz="0" w:space="0" w:color="auto"/>
        <w:right w:val="none" w:sz="0" w:space="0" w:color="auto"/>
      </w:divBdr>
    </w:div>
    <w:div w:id="1496264910">
      <w:bodyDiv w:val="1"/>
      <w:marLeft w:val="0"/>
      <w:marRight w:val="0"/>
      <w:marTop w:val="0"/>
      <w:marBottom w:val="0"/>
      <w:divBdr>
        <w:top w:val="none" w:sz="0" w:space="0" w:color="auto"/>
        <w:left w:val="none" w:sz="0" w:space="0" w:color="auto"/>
        <w:bottom w:val="none" w:sz="0" w:space="0" w:color="auto"/>
        <w:right w:val="none" w:sz="0" w:space="0" w:color="auto"/>
      </w:divBdr>
    </w:div>
    <w:div w:id="1592160295">
      <w:bodyDiv w:val="1"/>
      <w:marLeft w:val="0"/>
      <w:marRight w:val="0"/>
      <w:marTop w:val="0"/>
      <w:marBottom w:val="0"/>
      <w:divBdr>
        <w:top w:val="none" w:sz="0" w:space="0" w:color="auto"/>
        <w:left w:val="none" w:sz="0" w:space="0" w:color="auto"/>
        <w:bottom w:val="none" w:sz="0" w:space="0" w:color="auto"/>
        <w:right w:val="none" w:sz="0" w:space="0" w:color="auto"/>
      </w:divBdr>
    </w:div>
    <w:div w:id="1720089718">
      <w:bodyDiv w:val="1"/>
      <w:marLeft w:val="0"/>
      <w:marRight w:val="0"/>
      <w:marTop w:val="0"/>
      <w:marBottom w:val="0"/>
      <w:divBdr>
        <w:top w:val="none" w:sz="0" w:space="0" w:color="auto"/>
        <w:left w:val="none" w:sz="0" w:space="0" w:color="auto"/>
        <w:bottom w:val="none" w:sz="0" w:space="0" w:color="auto"/>
        <w:right w:val="none" w:sz="0" w:space="0" w:color="auto"/>
      </w:divBdr>
    </w:div>
    <w:div w:id="1779980739">
      <w:bodyDiv w:val="1"/>
      <w:marLeft w:val="0"/>
      <w:marRight w:val="0"/>
      <w:marTop w:val="0"/>
      <w:marBottom w:val="0"/>
      <w:divBdr>
        <w:top w:val="none" w:sz="0" w:space="0" w:color="auto"/>
        <w:left w:val="none" w:sz="0" w:space="0" w:color="auto"/>
        <w:bottom w:val="none" w:sz="0" w:space="0" w:color="auto"/>
        <w:right w:val="none" w:sz="0" w:space="0" w:color="auto"/>
      </w:divBdr>
    </w:div>
    <w:div w:id="1802575370">
      <w:bodyDiv w:val="1"/>
      <w:marLeft w:val="0"/>
      <w:marRight w:val="0"/>
      <w:marTop w:val="0"/>
      <w:marBottom w:val="0"/>
      <w:divBdr>
        <w:top w:val="none" w:sz="0" w:space="0" w:color="auto"/>
        <w:left w:val="none" w:sz="0" w:space="0" w:color="auto"/>
        <w:bottom w:val="none" w:sz="0" w:space="0" w:color="auto"/>
        <w:right w:val="none" w:sz="0" w:space="0" w:color="auto"/>
      </w:divBdr>
    </w:div>
    <w:div w:id="1947611560">
      <w:bodyDiv w:val="1"/>
      <w:marLeft w:val="0"/>
      <w:marRight w:val="0"/>
      <w:marTop w:val="0"/>
      <w:marBottom w:val="0"/>
      <w:divBdr>
        <w:top w:val="none" w:sz="0" w:space="0" w:color="auto"/>
        <w:left w:val="none" w:sz="0" w:space="0" w:color="auto"/>
        <w:bottom w:val="none" w:sz="0" w:space="0" w:color="auto"/>
        <w:right w:val="none" w:sz="0" w:space="0" w:color="auto"/>
      </w:divBdr>
    </w:div>
    <w:div w:id="1968928261">
      <w:bodyDiv w:val="1"/>
      <w:marLeft w:val="0"/>
      <w:marRight w:val="0"/>
      <w:marTop w:val="0"/>
      <w:marBottom w:val="0"/>
      <w:divBdr>
        <w:top w:val="none" w:sz="0" w:space="0" w:color="auto"/>
        <w:left w:val="none" w:sz="0" w:space="0" w:color="auto"/>
        <w:bottom w:val="none" w:sz="0" w:space="0" w:color="auto"/>
        <w:right w:val="none" w:sz="0" w:space="0" w:color="auto"/>
      </w:divBdr>
    </w:div>
    <w:div w:id="1973706638">
      <w:bodyDiv w:val="1"/>
      <w:marLeft w:val="0"/>
      <w:marRight w:val="0"/>
      <w:marTop w:val="0"/>
      <w:marBottom w:val="0"/>
      <w:divBdr>
        <w:top w:val="none" w:sz="0" w:space="0" w:color="auto"/>
        <w:left w:val="none" w:sz="0" w:space="0" w:color="auto"/>
        <w:bottom w:val="none" w:sz="0" w:space="0" w:color="auto"/>
        <w:right w:val="none" w:sz="0" w:space="0" w:color="auto"/>
      </w:divBdr>
    </w:div>
    <w:div w:id="2019230326">
      <w:bodyDiv w:val="1"/>
      <w:marLeft w:val="0"/>
      <w:marRight w:val="0"/>
      <w:marTop w:val="0"/>
      <w:marBottom w:val="0"/>
      <w:divBdr>
        <w:top w:val="none" w:sz="0" w:space="0" w:color="auto"/>
        <w:left w:val="none" w:sz="0" w:space="0" w:color="auto"/>
        <w:bottom w:val="none" w:sz="0" w:space="0" w:color="auto"/>
        <w:right w:val="none" w:sz="0" w:space="0" w:color="auto"/>
      </w:divBdr>
    </w:div>
    <w:div w:id="2056150500">
      <w:bodyDiv w:val="1"/>
      <w:marLeft w:val="0"/>
      <w:marRight w:val="0"/>
      <w:marTop w:val="0"/>
      <w:marBottom w:val="0"/>
      <w:divBdr>
        <w:top w:val="none" w:sz="0" w:space="0" w:color="auto"/>
        <w:left w:val="none" w:sz="0" w:space="0" w:color="auto"/>
        <w:bottom w:val="none" w:sz="0" w:space="0" w:color="auto"/>
        <w:right w:val="none" w:sz="0" w:space="0" w:color="auto"/>
      </w:divBdr>
    </w:div>
    <w:div w:id="2102221128">
      <w:bodyDiv w:val="1"/>
      <w:marLeft w:val="0"/>
      <w:marRight w:val="0"/>
      <w:marTop w:val="0"/>
      <w:marBottom w:val="0"/>
      <w:divBdr>
        <w:top w:val="none" w:sz="0" w:space="0" w:color="auto"/>
        <w:left w:val="none" w:sz="0" w:space="0" w:color="auto"/>
        <w:bottom w:val="none" w:sz="0" w:space="0" w:color="auto"/>
        <w:right w:val="none" w:sz="0" w:space="0" w:color="auto"/>
      </w:divBdr>
    </w:div>
    <w:div w:id="2125347792">
      <w:bodyDiv w:val="1"/>
      <w:marLeft w:val="0"/>
      <w:marRight w:val="0"/>
      <w:marTop w:val="0"/>
      <w:marBottom w:val="0"/>
      <w:divBdr>
        <w:top w:val="none" w:sz="0" w:space="0" w:color="auto"/>
        <w:left w:val="none" w:sz="0" w:space="0" w:color="auto"/>
        <w:bottom w:val="none" w:sz="0" w:space="0" w:color="auto"/>
        <w:right w:val="none" w:sz="0" w:space="0" w:color="auto"/>
      </w:divBdr>
    </w:div>
    <w:div w:id="21352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1b42e21-0980-4b78-a495-b69f5cacde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EFEC054CC034F8EDB76F1A360ED82" ma:contentTypeVersion="13" ma:contentTypeDescription="Crée un document." ma:contentTypeScope="" ma:versionID="4d1f7843dafbaf7060fbb41923145e75">
  <xsd:schema xmlns:xsd="http://www.w3.org/2001/XMLSchema" xmlns:xs="http://www.w3.org/2001/XMLSchema" xmlns:p="http://schemas.microsoft.com/office/2006/metadata/properties" xmlns:ns3="11b42e21-0980-4b78-a495-b69f5cacdeea" targetNamespace="http://schemas.microsoft.com/office/2006/metadata/properties" ma:root="true" ma:fieldsID="88687c60a19a4cb56067ce16b3b1454c" ns3:_="">
    <xsd:import namespace="11b42e21-0980-4b78-a495-b69f5cacde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2e21-0980-4b78-a495-b69f5cacd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096B2-A4E3-4698-8002-4B5C0CFFDF17}">
  <ds:schemaRefs>
    <ds:schemaRef ds:uri="http://schemas.openxmlformats.org/officeDocument/2006/bibliography"/>
  </ds:schemaRefs>
</ds:datastoreItem>
</file>

<file path=customXml/itemProps2.xml><?xml version="1.0" encoding="utf-8"?>
<ds:datastoreItem xmlns:ds="http://schemas.openxmlformats.org/officeDocument/2006/customXml" ds:itemID="{68918856-F1EB-4BCE-996B-B6CB631919A1}">
  <ds:schemaRefs>
    <ds:schemaRef ds:uri="http://schemas.microsoft.com/office/2006/metadata/properties"/>
    <ds:schemaRef ds:uri="http://schemas.microsoft.com/office/infopath/2007/PartnerControls"/>
    <ds:schemaRef ds:uri="11b42e21-0980-4b78-a495-b69f5cacdeea"/>
  </ds:schemaRefs>
</ds:datastoreItem>
</file>

<file path=customXml/itemProps3.xml><?xml version="1.0" encoding="utf-8"?>
<ds:datastoreItem xmlns:ds="http://schemas.openxmlformats.org/officeDocument/2006/customXml" ds:itemID="{F7943785-D63D-47B7-946E-6DF9DCAE1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2e21-0980-4b78-a495-b69f5cacd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481F6-4FBB-457C-B1AF-34CC621F7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1413</Words>
  <Characters>7773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cazes</dc:creator>
  <cp:keywords/>
  <dc:description/>
  <cp:lastModifiedBy>Valérie Vanwormhoudt</cp:lastModifiedBy>
  <cp:revision>5</cp:revision>
  <dcterms:created xsi:type="dcterms:W3CDTF">2024-11-06T09:34:00Z</dcterms:created>
  <dcterms:modified xsi:type="dcterms:W3CDTF">2024-11-06T09:57:00Z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0x010100E73EFEC054CC034F8EDB76F1A360ED82</vt:lpwstr>
  </property>
</Properties>
</file>