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A9824" w14:textId="2173B912" w:rsidR="0064297F" w:rsidRDefault="0064297F" w:rsidP="0064297F">
      <w:pPr>
        <w:ind w:left="708"/>
        <w:jc w:val="right"/>
        <w:rPr>
          <w:rFonts w:ascii="Calibri" w:hAnsi="Calibri" w:cs="Calibri"/>
          <w:color w:val="000000" w:themeColor="text1"/>
        </w:rPr>
      </w:pPr>
      <w:bookmarkStart w:id="0" w:name="_Hlk173497933"/>
      <w:r w:rsidRPr="0090285F">
        <w:rPr>
          <w:rFonts w:ascii="Calibri" w:hAnsi="Calibri" w:cs="Calibri"/>
          <w:color w:val="000000" w:themeColor="text1"/>
        </w:rPr>
        <w:t>(</w:t>
      </w:r>
      <w:proofErr w:type="gramStart"/>
      <w:r>
        <w:rPr>
          <w:rFonts w:ascii="Calibri" w:hAnsi="Calibri" w:cs="Calibri"/>
          <w:color w:val="000000" w:themeColor="text1"/>
        </w:rPr>
        <w:t>version</w:t>
      </w:r>
      <w:proofErr w:type="gramEnd"/>
      <w:r>
        <w:rPr>
          <w:rFonts w:ascii="Calibri" w:hAnsi="Calibri" w:cs="Calibri"/>
          <w:color w:val="000000" w:themeColor="text1"/>
        </w:rPr>
        <w:t xml:space="preserve"> </w:t>
      </w:r>
      <w:r w:rsidRPr="0090285F">
        <w:rPr>
          <w:rFonts w:ascii="Calibri" w:hAnsi="Calibri" w:cs="Calibri"/>
          <w:color w:val="000000" w:themeColor="text1"/>
        </w:rPr>
        <w:t xml:space="preserve">au </w:t>
      </w:r>
      <w:r w:rsidR="00D777D5">
        <w:rPr>
          <w:rFonts w:ascii="Calibri" w:hAnsi="Calibri" w:cs="Calibri"/>
          <w:color w:val="000000" w:themeColor="text1"/>
        </w:rPr>
        <w:t>3</w:t>
      </w:r>
      <w:r w:rsidRPr="0090285F">
        <w:rPr>
          <w:rFonts w:ascii="Calibri" w:hAnsi="Calibri" w:cs="Calibri"/>
          <w:color w:val="000000" w:themeColor="text1"/>
        </w:rPr>
        <w:t>/</w:t>
      </w:r>
      <w:r w:rsidR="007D42F7">
        <w:rPr>
          <w:rFonts w:ascii="Calibri" w:hAnsi="Calibri" w:cs="Calibri"/>
          <w:color w:val="000000" w:themeColor="text1"/>
        </w:rPr>
        <w:t>10</w:t>
      </w:r>
      <w:r w:rsidRPr="0090285F">
        <w:rPr>
          <w:rFonts w:ascii="Calibri" w:hAnsi="Calibri" w:cs="Calibri"/>
          <w:color w:val="000000" w:themeColor="text1"/>
        </w:rPr>
        <w:t>/24)</w:t>
      </w:r>
    </w:p>
    <w:p w14:paraId="5EBF81B6" w14:textId="551A96BD" w:rsidR="00556F60" w:rsidRDefault="007F7838" w:rsidP="00556F60">
      <w:pPr>
        <w:spacing w:after="0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M</w:t>
      </w:r>
      <w:r w:rsidR="00E277D0">
        <w:rPr>
          <w:rFonts w:ascii="Calibri" w:hAnsi="Calibri" w:cs="Calibri"/>
          <w:b/>
          <w:bCs/>
          <w:color w:val="000000" w:themeColor="text1"/>
        </w:rPr>
        <w:t xml:space="preserve">éthode </w:t>
      </w:r>
      <w:r w:rsidR="004F164A">
        <w:rPr>
          <w:rFonts w:ascii="Calibri" w:hAnsi="Calibri" w:cs="Calibri"/>
          <w:b/>
          <w:bCs/>
          <w:color w:val="000000" w:themeColor="text1"/>
        </w:rPr>
        <w:t>3D</w:t>
      </w:r>
      <w:r w:rsidR="00525858">
        <w:rPr>
          <w:rStyle w:val="Appelnotedebasdep"/>
          <w:rFonts w:ascii="Calibri" w:hAnsi="Calibri" w:cs="Calibri"/>
          <w:b/>
          <w:bCs/>
          <w:color w:val="000000" w:themeColor="text1"/>
        </w:rPr>
        <w:footnoteReference w:id="1"/>
      </w:r>
      <w:r w:rsidR="004F164A">
        <w:rPr>
          <w:rFonts w:ascii="Calibri" w:hAnsi="Calibri" w:cs="Calibri"/>
          <w:b/>
          <w:bCs/>
          <w:color w:val="000000" w:themeColor="text1"/>
        </w:rPr>
        <w:t xml:space="preserve"> </w:t>
      </w:r>
      <w:r w:rsidR="009263B8">
        <w:rPr>
          <w:rFonts w:ascii="Calibri" w:hAnsi="Calibri" w:cs="Calibri"/>
          <w:b/>
          <w:bCs/>
          <w:color w:val="000000" w:themeColor="text1"/>
        </w:rPr>
        <w:t xml:space="preserve">pour </w:t>
      </w:r>
      <w:r w:rsidR="00E277D0">
        <w:rPr>
          <w:rFonts w:ascii="Calibri" w:hAnsi="Calibri" w:cs="Calibri"/>
          <w:b/>
          <w:bCs/>
          <w:color w:val="000000" w:themeColor="text1"/>
        </w:rPr>
        <w:t>mesure</w:t>
      </w:r>
      <w:r w:rsidR="001C77AD">
        <w:rPr>
          <w:rFonts w:ascii="Calibri" w:hAnsi="Calibri" w:cs="Calibri"/>
          <w:b/>
          <w:bCs/>
          <w:color w:val="000000" w:themeColor="text1"/>
        </w:rPr>
        <w:t>r</w:t>
      </w:r>
      <w:r w:rsidR="00E277D0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56F60">
        <w:rPr>
          <w:rFonts w:ascii="Calibri" w:hAnsi="Calibri" w:cs="Calibri"/>
          <w:b/>
          <w:bCs/>
          <w:color w:val="000000" w:themeColor="text1"/>
        </w:rPr>
        <w:t xml:space="preserve">et </w:t>
      </w:r>
      <w:r w:rsidR="001C77AD">
        <w:rPr>
          <w:rFonts w:ascii="Calibri" w:hAnsi="Calibri" w:cs="Calibri"/>
          <w:b/>
          <w:bCs/>
          <w:color w:val="000000" w:themeColor="text1"/>
        </w:rPr>
        <w:t xml:space="preserve">transmettre à ses </w:t>
      </w:r>
      <w:r w:rsidR="009A466A">
        <w:rPr>
          <w:rFonts w:ascii="Calibri" w:hAnsi="Calibri" w:cs="Calibri"/>
          <w:b/>
          <w:bCs/>
          <w:color w:val="000000" w:themeColor="text1"/>
        </w:rPr>
        <w:t>clients</w:t>
      </w:r>
    </w:p>
    <w:p w14:paraId="34AB12DB" w14:textId="2C8D2EB3" w:rsidR="00DE75F1" w:rsidRPr="00155B6E" w:rsidRDefault="001C77AD" w:rsidP="00556F60">
      <w:pPr>
        <w:spacing w:after="0"/>
        <w:jc w:val="center"/>
        <w:rPr>
          <w:rFonts w:ascii="Calibri" w:hAnsi="Calibri" w:cs="Calibri"/>
          <w:b/>
          <w:bCs/>
          <w:color w:val="000000" w:themeColor="text1"/>
        </w:rPr>
      </w:pPr>
      <w:proofErr w:type="gramStart"/>
      <w:r>
        <w:rPr>
          <w:rFonts w:ascii="Calibri" w:hAnsi="Calibri" w:cs="Calibri"/>
          <w:b/>
          <w:bCs/>
          <w:color w:val="000000" w:themeColor="text1"/>
        </w:rPr>
        <w:t>l</w:t>
      </w:r>
      <w:r w:rsidR="00852A04">
        <w:rPr>
          <w:rFonts w:ascii="Calibri" w:hAnsi="Calibri" w:cs="Calibri"/>
          <w:b/>
          <w:bCs/>
          <w:color w:val="000000" w:themeColor="text1"/>
        </w:rPr>
        <w:t>es</w:t>
      </w:r>
      <w:proofErr w:type="gramEnd"/>
      <w:r w:rsidR="00852A04">
        <w:rPr>
          <w:rFonts w:ascii="Calibri" w:hAnsi="Calibri" w:cs="Calibri"/>
          <w:b/>
          <w:bCs/>
          <w:color w:val="000000" w:themeColor="text1"/>
        </w:rPr>
        <w:t xml:space="preserve"> émissions </w:t>
      </w:r>
      <w:r w:rsidR="00E277D0">
        <w:rPr>
          <w:rFonts w:ascii="Calibri" w:hAnsi="Calibri" w:cs="Calibri"/>
          <w:b/>
          <w:bCs/>
          <w:color w:val="000000" w:themeColor="text1"/>
        </w:rPr>
        <w:t>de GES</w:t>
      </w:r>
      <w:r w:rsidR="000C5008" w:rsidRPr="00691949">
        <w:rPr>
          <w:rStyle w:val="Appelnotedebasdep"/>
          <w:rFonts w:ascii="Calibri" w:eastAsiaTheme="majorEastAsia" w:hAnsi="Calibri" w:cs="Calibri"/>
          <w:color w:val="000000" w:themeColor="text1"/>
        </w:rPr>
        <w:footnoteReference w:id="2"/>
      </w:r>
      <w:r w:rsidR="00E277D0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F5FDD">
        <w:rPr>
          <w:rFonts w:ascii="Calibri" w:hAnsi="Calibri" w:cs="Calibri"/>
          <w:b/>
          <w:bCs/>
          <w:color w:val="000000" w:themeColor="text1"/>
        </w:rPr>
        <w:t>de</w:t>
      </w:r>
      <w:r w:rsidR="00E94632">
        <w:rPr>
          <w:rFonts w:ascii="Calibri" w:hAnsi="Calibri" w:cs="Calibri"/>
          <w:b/>
          <w:bCs/>
          <w:color w:val="000000" w:themeColor="text1"/>
        </w:rPr>
        <w:t xml:space="preserve"> ce que vend</w:t>
      </w:r>
      <w:r>
        <w:rPr>
          <w:rFonts w:ascii="Calibri" w:hAnsi="Calibri" w:cs="Calibri"/>
          <w:b/>
          <w:bCs/>
          <w:color w:val="000000" w:themeColor="text1"/>
        </w:rPr>
        <w:t xml:space="preserve"> l’entreprise</w:t>
      </w:r>
    </w:p>
    <w:p w14:paraId="2658E581" w14:textId="77777777" w:rsidR="00C74D55" w:rsidRDefault="00C74D55" w:rsidP="00363980">
      <w:pPr>
        <w:rPr>
          <w:rFonts w:ascii="Calibri" w:hAnsi="Calibri" w:cs="Calibri"/>
          <w:color w:val="000000" w:themeColor="text1"/>
        </w:rPr>
      </w:pPr>
    </w:p>
    <w:p w14:paraId="5698E89F" w14:textId="1A4A1C0E" w:rsidR="00E7539D" w:rsidRDefault="00701C3D" w:rsidP="00E7539D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Cette </w:t>
      </w:r>
      <w:r w:rsidR="00363980" w:rsidRPr="00363980">
        <w:rPr>
          <w:rFonts w:ascii="Calibri" w:hAnsi="Calibri" w:cs="Calibri"/>
          <w:color w:val="000000" w:themeColor="text1"/>
        </w:rPr>
        <w:t xml:space="preserve">méthode donne à l'entreprise des estimations robustes et exhaustives des émissions de </w:t>
      </w:r>
      <w:r w:rsidR="00337933">
        <w:rPr>
          <w:rFonts w:ascii="Calibri" w:hAnsi="Calibri" w:cs="Calibri"/>
          <w:color w:val="000000" w:themeColor="text1"/>
        </w:rPr>
        <w:t xml:space="preserve">ce qu’elle </w:t>
      </w:r>
      <w:r w:rsidR="00946570">
        <w:rPr>
          <w:rFonts w:ascii="Calibri" w:hAnsi="Calibri" w:cs="Calibri"/>
          <w:color w:val="000000" w:themeColor="text1"/>
        </w:rPr>
        <w:t xml:space="preserve">achète et de ce qu’elle </w:t>
      </w:r>
      <w:r w:rsidR="00337933">
        <w:rPr>
          <w:rFonts w:ascii="Calibri" w:hAnsi="Calibri" w:cs="Calibri"/>
          <w:color w:val="000000" w:themeColor="text1"/>
        </w:rPr>
        <w:t>vend</w:t>
      </w:r>
      <w:r w:rsidR="003B5299">
        <w:rPr>
          <w:rFonts w:ascii="Calibri" w:hAnsi="Calibri" w:cs="Calibri"/>
          <w:color w:val="000000" w:themeColor="text1"/>
        </w:rPr>
        <w:t xml:space="preserve">, </w:t>
      </w:r>
      <w:r w:rsidR="00931A30">
        <w:rPr>
          <w:rFonts w:ascii="Calibri" w:hAnsi="Calibri" w:cs="Calibri"/>
          <w:color w:val="000000" w:themeColor="text1"/>
        </w:rPr>
        <w:t>alimentée</w:t>
      </w:r>
      <w:r w:rsidR="003F716D">
        <w:rPr>
          <w:rFonts w:ascii="Calibri" w:hAnsi="Calibri" w:cs="Calibri"/>
          <w:color w:val="000000" w:themeColor="text1"/>
        </w:rPr>
        <w:t>s</w:t>
      </w:r>
      <w:r w:rsidR="00931A30">
        <w:rPr>
          <w:rFonts w:ascii="Calibri" w:hAnsi="Calibri" w:cs="Calibri"/>
          <w:color w:val="000000" w:themeColor="text1"/>
        </w:rPr>
        <w:t xml:space="preserve"> par les émissions de</w:t>
      </w:r>
      <w:r w:rsidR="009979DC">
        <w:rPr>
          <w:rFonts w:ascii="Calibri" w:hAnsi="Calibri" w:cs="Calibri"/>
          <w:color w:val="000000" w:themeColor="text1"/>
        </w:rPr>
        <w:t xml:space="preserve"> </w:t>
      </w:r>
      <w:r w:rsidR="00931A30">
        <w:rPr>
          <w:rFonts w:ascii="Calibri" w:hAnsi="Calibri" w:cs="Calibri"/>
          <w:color w:val="000000" w:themeColor="text1"/>
        </w:rPr>
        <w:t>s</w:t>
      </w:r>
      <w:r w:rsidR="009979DC">
        <w:rPr>
          <w:rFonts w:ascii="Calibri" w:hAnsi="Calibri" w:cs="Calibri"/>
          <w:color w:val="000000" w:themeColor="text1"/>
        </w:rPr>
        <w:t>es</w:t>
      </w:r>
      <w:r w:rsidR="00931A30">
        <w:rPr>
          <w:rFonts w:ascii="Calibri" w:hAnsi="Calibri" w:cs="Calibri"/>
          <w:color w:val="000000" w:themeColor="text1"/>
        </w:rPr>
        <w:t xml:space="preserve"> fournisseurs et </w:t>
      </w:r>
      <w:r w:rsidR="00363980" w:rsidRPr="00363980">
        <w:rPr>
          <w:rFonts w:ascii="Calibri" w:hAnsi="Calibri" w:cs="Calibri"/>
          <w:color w:val="000000" w:themeColor="text1"/>
        </w:rPr>
        <w:t>transm</w:t>
      </w:r>
      <w:r w:rsidR="003B5299">
        <w:rPr>
          <w:rFonts w:ascii="Calibri" w:hAnsi="Calibri" w:cs="Calibri"/>
          <w:color w:val="000000" w:themeColor="text1"/>
        </w:rPr>
        <w:t>ises ensuite</w:t>
      </w:r>
      <w:r w:rsidR="00363980" w:rsidRPr="00363980">
        <w:rPr>
          <w:rFonts w:ascii="Calibri" w:hAnsi="Calibri" w:cs="Calibri"/>
          <w:color w:val="000000" w:themeColor="text1"/>
        </w:rPr>
        <w:t xml:space="preserve"> à ses clients.</w:t>
      </w:r>
      <w:bookmarkEnd w:id="0"/>
    </w:p>
    <w:p w14:paraId="47474B47" w14:textId="47E69BC4" w:rsidR="00E5520D" w:rsidRPr="006B5596" w:rsidRDefault="00606CFD" w:rsidP="00FD017A">
      <w:pPr>
        <w:pStyle w:val="Paragraphedeliste"/>
        <w:numPr>
          <w:ilvl w:val="0"/>
          <w:numId w:val="9"/>
        </w:numPr>
        <w:spacing w:after="0"/>
        <w:jc w:val="both"/>
        <w:rPr>
          <w:rStyle w:val="lev"/>
          <w:rFonts w:ascii="Calibri" w:eastAsiaTheme="majorEastAsia" w:hAnsi="Calibri" w:cs="Calibri"/>
          <w:color w:val="000000" w:themeColor="text1"/>
        </w:rPr>
      </w:pPr>
      <w:r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Une ent</w:t>
      </w:r>
      <w:r w:rsidR="0042240B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reprise</w:t>
      </w:r>
      <w:r w:rsidR="002D0111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 </w:t>
      </w:r>
      <w:r w:rsidR="00B66C85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utilisant</w:t>
      </w:r>
      <w:r w:rsidR="00453C84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 </w:t>
      </w:r>
      <w:r w:rsidR="004F164A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la</w:t>
      </w:r>
      <w:r w:rsidR="00453C84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 </w:t>
      </w:r>
      <w:r w:rsidR="00AA1A05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mét</w:t>
      </w:r>
      <w:r w:rsidR="0070636B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hode </w:t>
      </w:r>
      <w:r w:rsidR="00B50EEB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établit</w:t>
      </w:r>
      <w:r w:rsidR="00651CCD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 </w:t>
      </w:r>
      <w:r w:rsidR="00927D60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à chaque clôture </w:t>
      </w:r>
      <w:r w:rsidR="007B513E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comptable</w:t>
      </w:r>
      <w:r w:rsidR="00E06108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 annuelle</w:t>
      </w:r>
      <w:r w:rsidR="007B513E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 </w:t>
      </w:r>
      <w:r w:rsidR="00651CCD" w:rsidRPr="006B5596">
        <w:rPr>
          <w:rStyle w:val="lev"/>
          <w:rFonts w:ascii="Calibri" w:eastAsiaTheme="majorEastAsia" w:hAnsi="Calibri" w:cs="Calibri"/>
          <w:color w:val="000000" w:themeColor="text1"/>
        </w:rPr>
        <w:t>un</w:t>
      </w:r>
      <w:r w:rsidR="00D777D5">
        <w:rPr>
          <w:rStyle w:val="lev"/>
          <w:rFonts w:ascii="Calibri" w:eastAsiaTheme="majorEastAsia" w:hAnsi="Calibri" w:cs="Calibri"/>
          <w:color w:val="000000" w:themeColor="text1"/>
        </w:rPr>
        <w:t>e</w:t>
      </w:r>
      <w:r w:rsidR="00651CCD" w:rsidRPr="006B5596">
        <w:rPr>
          <w:rStyle w:val="lev"/>
          <w:rFonts w:ascii="Calibri" w:eastAsiaTheme="majorEastAsia" w:hAnsi="Calibri" w:cs="Calibri"/>
          <w:color w:val="000000" w:themeColor="text1"/>
        </w:rPr>
        <w:t xml:space="preserve"> </w:t>
      </w:r>
      <w:r w:rsidR="00D777D5">
        <w:rPr>
          <w:rStyle w:val="lev"/>
          <w:rFonts w:ascii="Calibri" w:eastAsiaTheme="majorEastAsia" w:hAnsi="Calibri" w:cs="Calibri"/>
          <w:color w:val="000000" w:themeColor="text1"/>
        </w:rPr>
        <w:t>balanc</w:t>
      </w:r>
      <w:r w:rsidR="00F55D13">
        <w:rPr>
          <w:rStyle w:val="lev"/>
          <w:rFonts w:ascii="Calibri" w:eastAsiaTheme="majorEastAsia" w:hAnsi="Calibri" w:cs="Calibri"/>
          <w:color w:val="000000" w:themeColor="text1"/>
        </w:rPr>
        <w:t>e</w:t>
      </w:r>
      <w:r w:rsidR="00793B7B">
        <w:rPr>
          <w:rStyle w:val="lev"/>
          <w:rFonts w:ascii="Calibri" w:eastAsiaTheme="majorEastAsia" w:hAnsi="Calibri" w:cs="Calibri"/>
          <w:color w:val="000000" w:themeColor="text1"/>
        </w:rPr>
        <w:t xml:space="preserve"> </w:t>
      </w:r>
      <w:r w:rsidR="004E429F" w:rsidRPr="006B5596">
        <w:rPr>
          <w:rStyle w:val="lev"/>
          <w:rFonts w:ascii="Calibri" w:eastAsiaTheme="majorEastAsia" w:hAnsi="Calibri" w:cs="Calibri"/>
          <w:color w:val="000000" w:themeColor="text1"/>
        </w:rPr>
        <w:t>d</w:t>
      </w:r>
      <w:r w:rsidR="00927D60" w:rsidRPr="006B5596">
        <w:rPr>
          <w:rStyle w:val="lev"/>
          <w:rFonts w:ascii="Calibri" w:eastAsiaTheme="majorEastAsia" w:hAnsi="Calibri" w:cs="Calibri"/>
          <w:color w:val="000000" w:themeColor="text1"/>
        </w:rPr>
        <w:t xml:space="preserve">e ses </w:t>
      </w:r>
      <w:r w:rsidR="004E429F" w:rsidRPr="006B5596">
        <w:rPr>
          <w:rStyle w:val="lev"/>
          <w:rFonts w:ascii="Calibri" w:eastAsiaTheme="majorEastAsia" w:hAnsi="Calibri" w:cs="Calibri"/>
          <w:color w:val="000000" w:themeColor="text1"/>
        </w:rPr>
        <w:t>émissions</w:t>
      </w:r>
      <w:r w:rsidR="004E429F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 </w:t>
      </w:r>
      <w:r w:rsidR="00927D60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permettant de contrôler l’équilibre entre les émissions </w:t>
      </w:r>
      <w:r w:rsidR="00EB4C38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nécessaires à sa production et les émissions transmises à ses clients</w:t>
      </w:r>
      <w:r w:rsidR="007B513E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. </w:t>
      </w:r>
      <w:r w:rsidR="00A52A2F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Dans c</w:t>
      </w:r>
      <w:r w:rsidR="000B7012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ett</w:t>
      </w:r>
      <w:r w:rsidR="00A52A2F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e </w:t>
      </w:r>
      <w:r w:rsidR="000B7012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balance </w:t>
      </w:r>
      <w:r w:rsidR="00A52A2F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figure</w:t>
      </w:r>
      <w:r w:rsidR="00137C74" w:rsidRPr="006B5596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 xml:space="preserve">nt : le </w:t>
      </w:r>
      <w:r w:rsidR="00E06108">
        <w:rPr>
          <w:rStyle w:val="lev"/>
          <w:rFonts w:ascii="Calibri" w:eastAsiaTheme="majorEastAsia" w:hAnsi="Calibri" w:cs="Calibri"/>
          <w:b w:val="0"/>
          <w:bCs w:val="0"/>
          <w:color w:val="000000" w:themeColor="text1"/>
        </w:rPr>
        <w:t>solde de la balance précédente</w:t>
      </w:r>
      <w:r w:rsidR="002D0111" w:rsidRPr="006B5596">
        <w:rPr>
          <w:rFonts w:ascii="Calibri" w:eastAsiaTheme="majorEastAsia" w:hAnsi="Calibri" w:cs="Calibri"/>
          <w:color w:val="000000" w:themeColor="text1"/>
        </w:rPr>
        <w:t xml:space="preserve">, </w:t>
      </w:r>
      <w:r w:rsidR="002468C1">
        <w:rPr>
          <w:rFonts w:ascii="Calibri" w:eastAsiaTheme="majorEastAsia" w:hAnsi="Calibri" w:cs="Calibri"/>
          <w:color w:val="000000" w:themeColor="text1"/>
        </w:rPr>
        <w:t xml:space="preserve">en positif </w:t>
      </w:r>
      <w:r w:rsidR="00137C74" w:rsidRPr="006B5596">
        <w:rPr>
          <w:rFonts w:ascii="Calibri" w:eastAsiaTheme="majorEastAsia" w:hAnsi="Calibri" w:cs="Calibri"/>
          <w:color w:val="000000" w:themeColor="text1"/>
        </w:rPr>
        <w:t xml:space="preserve">les émissions </w:t>
      </w:r>
      <w:r w:rsidRPr="006B5596">
        <w:rPr>
          <w:rFonts w:ascii="Calibri" w:eastAsiaTheme="majorEastAsia" w:hAnsi="Calibri" w:cs="Calibri"/>
          <w:color w:val="000000" w:themeColor="text1"/>
        </w:rPr>
        <w:t>des achats</w:t>
      </w:r>
      <w:r w:rsidR="00711FD0">
        <w:rPr>
          <w:rStyle w:val="Appelnotedebasdep"/>
          <w:rFonts w:ascii="Calibri" w:eastAsia="Arial" w:hAnsi="Calibri" w:cs="Calibri"/>
          <w:color w:val="000000" w:themeColor="text1"/>
        </w:rPr>
        <w:footnoteReference w:id="3"/>
      </w:r>
      <w:r w:rsidR="002468C1">
        <w:rPr>
          <w:rFonts w:ascii="Calibri" w:eastAsiaTheme="majorEastAsia" w:hAnsi="Calibri" w:cs="Calibri"/>
          <w:color w:val="000000" w:themeColor="text1"/>
        </w:rPr>
        <w:t xml:space="preserve"> et</w:t>
      </w:r>
      <w:r w:rsidR="004A59C7" w:rsidRPr="006B5596">
        <w:rPr>
          <w:rFonts w:ascii="Calibri" w:eastAsiaTheme="majorEastAsia" w:hAnsi="Calibri" w:cs="Calibri"/>
          <w:color w:val="000000" w:themeColor="text1"/>
        </w:rPr>
        <w:t xml:space="preserve"> </w:t>
      </w:r>
      <w:r w:rsidRPr="006B5596">
        <w:rPr>
          <w:rFonts w:ascii="Calibri" w:eastAsiaTheme="majorEastAsia" w:hAnsi="Calibri" w:cs="Calibri"/>
          <w:color w:val="000000" w:themeColor="text1"/>
        </w:rPr>
        <w:t xml:space="preserve">les </w:t>
      </w:r>
      <w:r w:rsidR="001469F1" w:rsidRPr="006B5596">
        <w:rPr>
          <w:rFonts w:ascii="Calibri" w:eastAsiaTheme="majorEastAsia" w:hAnsi="Calibri" w:cs="Calibri"/>
          <w:color w:val="000000" w:themeColor="text1"/>
        </w:rPr>
        <w:t xml:space="preserve">émissions </w:t>
      </w:r>
      <w:r w:rsidRPr="006B5596">
        <w:rPr>
          <w:rFonts w:ascii="Calibri" w:eastAsiaTheme="majorEastAsia" w:hAnsi="Calibri" w:cs="Calibri"/>
          <w:color w:val="000000" w:themeColor="text1"/>
        </w:rPr>
        <w:t>ajoutées</w:t>
      </w:r>
      <w:r w:rsidR="00711FD0">
        <w:rPr>
          <w:rStyle w:val="Appelnotedebasdep"/>
          <w:rFonts w:ascii="Calibri" w:eastAsia="Arial" w:hAnsi="Calibri" w:cs="Calibri"/>
          <w:color w:val="000000" w:themeColor="text1"/>
        </w:rPr>
        <w:footnoteReference w:id="4"/>
      </w:r>
      <w:r w:rsidRPr="006B5596">
        <w:rPr>
          <w:rFonts w:ascii="Calibri" w:eastAsiaTheme="majorEastAsia" w:hAnsi="Calibri" w:cs="Calibri"/>
          <w:color w:val="000000" w:themeColor="text1"/>
        </w:rPr>
        <w:t xml:space="preserve"> par </w:t>
      </w:r>
      <w:r w:rsidR="00BA4EF2" w:rsidRPr="006B5596">
        <w:rPr>
          <w:rFonts w:ascii="Calibri" w:eastAsiaTheme="majorEastAsia" w:hAnsi="Calibri" w:cs="Calibri"/>
          <w:color w:val="000000" w:themeColor="text1"/>
        </w:rPr>
        <w:t>l</w:t>
      </w:r>
      <w:r w:rsidRPr="006B5596">
        <w:rPr>
          <w:rFonts w:ascii="Calibri" w:eastAsiaTheme="majorEastAsia" w:hAnsi="Calibri" w:cs="Calibri"/>
          <w:color w:val="000000" w:themeColor="text1"/>
        </w:rPr>
        <w:t>es processus</w:t>
      </w:r>
      <w:r w:rsidR="00580FA7" w:rsidRPr="006B5596">
        <w:rPr>
          <w:rFonts w:ascii="Calibri" w:eastAsiaTheme="majorEastAsia" w:hAnsi="Calibri" w:cs="Calibri"/>
          <w:color w:val="000000" w:themeColor="text1"/>
        </w:rPr>
        <w:t> </w:t>
      </w:r>
      <w:r w:rsidR="002D0111" w:rsidRPr="006B5596">
        <w:rPr>
          <w:rFonts w:ascii="Calibri" w:eastAsiaTheme="majorEastAsia" w:hAnsi="Calibri" w:cs="Calibri"/>
          <w:color w:val="000000" w:themeColor="text1"/>
        </w:rPr>
        <w:t>de production</w:t>
      </w:r>
      <w:r w:rsidR="00137C74" w:rsidRPr="006B5596">
        <w:rPr>
          <w:rFonts w:ascii="Calibri" w:eastAsiaTheme="majorEastAsia" w:hAnsi="Calibri" w:cs="Calibri"/>
          <w:color w:val="000000" w:themeColor="text1"/>
        </w:rPr>
        <w:t>,</w:t>
      </w:r>
      <w:r w:rsidR="00D104E7" w:rsidRPr="006B5596">
        <w:rPr>
          <w:rFonts w:ascii="Calibri" w:eastAsiaTheme="majorEastAsia" w:hAnsi="Calibri" w:cs="Calibri"/>
          <w:color w:val="000000" w:themeColor="text1"/>
        </w:rPr>
        <w:t xml:space="preserve"> </w:t>
      </w:r>
      <w:r w:rsidR="002468C1">
        <w:rPr>
          <w:rFonts w:ascii="Calibri" w:eastAsiaTheme="majorEastAsia" w:hAnsi="Calibri" w:cs="Calibri"/>
          <w:color w:val="000000" w:themeColor="text1"/>
        </w:rPr>
        <w:t xml:space="preserve">en négatif </w:t>
      </w:r>
      <w:r w:rsidR="00D104E7" w:rsidRPr="006B5596">
        <w:rPr>
          <w:rFonts w:ascii="Calibri" w:eastAsiaTheme="majorEastAsia" w:hAnsi="Calibri" w:cs="Calibri"/>
          <w:color w:val="000000" w:themeColor="text1"/>
        </w:rPr>
        <w:t>l</w:t>
      </w:r>
      <w:r w:rsidR="007F387D" w:rsidRPr="006B5596">
        <w:rPr>
          <w:rFonts w:ascii="Calibri" w:eastAsiaTheme="majorEastAsia" w:hAnsi="Calibri" w:cs="Calibri"/>
          <w:color w:val="000000" w:themeColor="text1"/>
        </w:rPr>
        <w:t xml:space="preserve">es </w:t>
      </w:r>
      <w:r w:rsidR="00580FA7" w:rsidRPr="006B5596">
        <w:rPr>
          <w:rFonts w:ascii="Calibri" w:eastAsiaTheme="majorEastAsia" w:hAnsi="Calibri" w:cs="Calibri"/>
          <w:color w:val="000000" w:themeColor="text1"/>
        </w:rPr>
        <w:t xml:space="preserve">émissions </w:t>
      </w:r>
      <w:r w:rsidR="0053637B" w:rsidRPr="006B5596">
        <w:rPr>
          <w:rFonts w:ascii="Calibri" w:eastAsiaTheme="majorEastAsia" w:hAnsi="Calibri" w:cs="Calibri"/>
          <w:color w:val="000000" w:themeColor="text1"/>
        </w:rPr>
        <w:t xml:space="preserve">transmises avec </w:t>
      </w:r>
      <w:r w:rsidR="00BA4EF2" w:rsidRPr="006B5596">
        <w:rPr>
          <w:rFonts w:ascii="Calibri" w:eastAsiaTheme="majorEastAsia" w:hAnsi="Calibri" w:cs="Calibri"/>
          <w:color w:val="000000" w:themeColor="text1"/>
        </w:rPr>
        <w:t>l</w:t>
      </w:r>
      <w:r w:rsidR="00580FA7" w:rsidRPr="006B5596">
        <w:rPr>
          <w:rFonts w:ascii="Calibri" w:eastAsiaTheme="majorEastAsia" w:hAnsi="Calibri" w:cs="Calibri"/>
          <w:color w:val="000000" w:themeColor="text1"/>
        </w:rPr>
        <w:t>es vent</w:t>
      </w:r>
      <w:r w:rsidR="00D104E7" w:rsidRPr="006B5596">
        <w:rPr>
          <w:rFonts w:ascii="Calibri" w:eastAsiaTheme="majorEastAsia" w:hAnsi="Calibri" w:cs="Calibri"/>
          <w:color w:val="000000" w:themeColor="text1"/>
        </w:rPr>
        <w:t>es</w:t>
      </w:r>
      <w:r w:rsidR="006135E5" w:rsidRPr="006B5596">
        <w:rPr>
          <w:rFonts w:ascii="Calibri" w:eastAsiaTheme="majorEastAsia" w:hAnsi="Calibri" w:cs="Calibri"/>
          <w:color w:val="000000" w:themeColor="text1"/>
        </w:rPr>
        <w:t xml:space="preserve"> </w:t>
      </w:r>
      <w:r w:rsidR="00D104E7" w:rsidRPr="006B5596">
        <w:rPr>
          <w:rFonts w:ascii="Calibri" w:eastAsiaTheme="majorEastAsia" w:hAnsi="Calibri" w:cs="Calibri"/>
          <w:color w:val="000000" w:themeColor="text1"/>
        </w:rPr>
        <w:t xml:space="preserve">et </w:t>
      </w:r>
      <w:r w:rsidR="006135E5" w:rsidRPr="006B5596">
        <w:rPr>
          <w:rFonts w:ascii="Calibri" w:eastAsiaTheme="majorEastAsia" w:hAnsi="Calibri" w:cs="Calibri"/>
          <w:color w:val="000000" w:themeColor="text1"/>
        </w:rPr>
        <w:t>l</w:t>
      </w:r>
      <w:r w:rsidR="00F36256">
        <w:rPr>
          <w:rFonts w:ascii="Calibri" w:eastAsiaTheme="majorEastAsia" w:hAnsi="Calibri" w:cs="Calibri"/>
          <w:color w:val="000000" w:themeColor="text1"/>
        </w:rPr>
        <w:t>e sold</w:t>
      </w:r>
      <w:r w:rsidR="00176B4A" w:rsidRPr="006B5596">
        <w:rPr>
          <w:rFonts w:ascii="Calibri" w:eastAsiaTheme="majorEastAsia" w:hAnsi="Calibri" w:cs="Calibri"/>
          <w:color w:val="000000" w:themeColor="text1"/>
        </w:rPr>
        <w:t>e</w:t>
      </w:r>
      <w:r w:rsidR="0008065E" w:rsidRPr="006B5596">
        <w:rPr>
          <w:rFonts w:ascii="Calibri" w:eastAsiaTheme="majorEastAsia" w:hAnsi="Calibri" w:cs="Calibri"/>
          <w:color w:val="000000" w:themeColor="text1"/>
        </w:rPr>
        <w:t xml:space="preserve"> </w:t>
      </w:r>
      <w:r w:rsidR="006135E5" w:rsidRPr="006B5596">
        <w:rPr>
          <w:rFonts w:ascii="Calibri" w:eastAsiaTheme="majorEastAsia" w:hAnsi="Calibri" w:cs="Calibri"/>
          <w:color w:val="000000" w:themeColor="text1"/>
        </w:rPr>
        <w:t>de l’</w:t>
      </w:r>
      <w:r w:rsidR="00D104E7" w:rsidRPr="006B5596">
        <w:rPr>
          <w:rFonts w:ascii="Calibri" w:eastAsiaTheme="majorEastAsia" w:hAnsi="Calibri" w:cs="Calibri"/>
          <w:color w:val="000000" w:themeColor="text1"/>
        </w:rPr>
        <w:t>anné</w:t>
      </w:r>
      <w:r w:rsidR="006135E5" w:rsidRPr="006B5596">
        <w:rPr>
          <w:rFonts w:ascii="Calibri" w:eastAsiaTheme="majorEastAsia" w:hAnsi="Calibri" w:cs="Calibri"/>
          <w:color w:val="000000" w:themeColor="text1"/>
        </w:rPr>
        <w:t>e</w:t>
      </w:r>
      <w:r w:rsidRPr="006B5596">
        <w:rPr>
          <w:rFonts w:ascii="Calibri" w:eastAsiaTheme="majorEastAsia" w:hAnsi="Calibri" w:cs="Calibri"/>
          <w:color w:val="000000" w:themeColor="text1"/>
        </w:rPr>
        <w:t>.</w:t>
      </w:r>
      <w:r w:rsidR="007E4730" w:rsidRPr="006B5596">
        <w:rPr>
          <w:rFonts w:ascii="Calibri" w:eastAsiaTheme="majorEastAsia" w:hAnsi="Calibri" w:cs="Calibri"/>
          <w:color w:val="000000" w:themeColor="text1"/>
        </w:rPr>
        <w:t xml:space="preserve"> Les opérations </w:t>
      </w:r>
      <w:r w:rsidR="000301F3" w:rsidRPr="006B5596">
        <w:rPr>
          <w:rFonts w:ascii="Calibri" w:eastAsiaTheme="majorEastAsia" w:hAnsi="Calibri" w:cs="Calibri"/>
          <w:color w:val="000000" w:themeColor="text1"/>
        </w:rPr>
        <w:t xml:space="preserve">prises en compte </w:t>
      </w:r>
      <w:r w:rsidR="007E4730" w:rsidRPr="006B5596">
        <w:rPr>
          <w:rFonts w:ascii="Calibri" w:eastAsiaTheme="majorEastAsia" w:hAnsi="Calibri" w:cs="Calibri"/>
          <w:color w:val="000000" w:themeColor="text1"/>
        </w:rPr>
        <w:t xml:space="preserve">sont </w:t>
      </w:r>
      <w:r w:rsidR="002D1364" w:rsidRPr="006B5596">
        <w:rPr>
          <w:rFonts w:ascii="Calibri" w:eastAsiaTheme="majorEastAsia" w:hAnsi="Calibri" w:cs="Calibri"/>
          <w:color w:val="000000" w:themeColor="text1"/>
        </w:rPr>
        <w:t xml:space="preserve">toutes </w:t>
      </w:r>
      <w:r w:rsidR="007E4730" w:rsidRPr="006B5596">
        <w:rPr>
          <w:rFonts w:ascii="Calibri" w:eastAsiaTheme="majorEastAsia" w:hAnsi="Calibri" w:cs="Calibri"/>
          <w:color w:val="000000" w:themeColor="text1"/>
        </w:rPr>
        <w:t xml:space="preserve">celles </w:t>
      </w:r>
      <w:r w:rsidR="004463C4" w:rsidRPr="006B5596">
        <w:rPr>
          <w:rFonts w:ascii="Calibri" w:eastAsiaTheme="majorEastAsia" w:hAnsi="Calibri" w:cs="Calibri"/>
          <w:color w:val="000000" w:themeColor="text1"/>
        </w:rPr>
        <w:t xml:space="preserve">imputées à l’exercice </w:t>
      </w:r>
      <w:r w:rsidR="00386FAC">
        <w:rPr>
          <w:rFonts w:ascii="Calibri" w:eastAsiaTheme="majorEastAsia" w:hAnsi="Calibri" w:cs="Calibri"/>
          <w:color w:val="000000" w:themeColor="text1"/>
        </w:rPr>
        <w:t xml:space="preserve">au titre du </w:t>
      </w:r>
      <w:r w:rsidR="007E4730" w:rsidRPr="006B5596">
        <w:rPr>
          <w:rFonts w:ascii="Calibri" w:eastAsiaTheme="majorEastAsia" w:hAnsi="Calibri" w:cs="Calibri"/>
          <w:color w:val="000000" w:themeColor="text1"/>
        </w:rPr>
        <w:t>compte de p</w:t>
      </w:r>
      <w:r w:rsidR="001264E4" w:rsidRPr="006B5596">
        <w:rPr>
          <w:rFonts w:ascii="Calibri" w:eastAsiaTheme="majorEastAsia" w:hAnsi="Calibri" w:cs="Calibri"/>
          <w:color w:val="000000" w:themeColor="text1"/>
        </w:rPr>
        <w:t>roduits et charges</w:t>
      </w:r>
      <w:r w:rsidR="00386FAC">
        <w:rPr>
          <w:rFonts w:ascii="Calibri" w:eastAsiaTheme="majorEastAsia" w:hAnsi="Calibri" w:cs="Calibri"/>
          <w:color w:val="000000" w:themeColor="text1"/>
        </w:rPr>
        <w:t xml:space="preserve"> de la comptabilité générale</w:t>
      </w:r>
      <w:r w:rsidR="001264E4" w:rsidRPr="006B5596">
        <w:rPr>
          <w:rFonts w:ascii="Calibri" w:eastAsiaTheme="majorEastAsia" w:hAnsi="Calibri" w:cs="Calibri"/>
          <w:color w:val="000000" w:themeColor="text1"/>
        </w:rPr>
        <w:t>.</w:t>
      </w:r>
      <w:r w:rsidR="00242C0F" w:rsidRPr="006B5596">
        <w:rPr>
          <w:rFonts w:ascii="Calibri" w:eastAsiaTheme="majorEastAsia" w:hAnsi="Calibri" w:cs="Calibri"/>
          <w:color w:val="000000" w:themeColor="text1"/>
        </w:rPr>
        <w:t xml:space="preserve"> </w:t>
      </w:r>
    </w:p>
    <w:p w14:paraId="5C645A28" w14:textId="1BC66F40" w:rsidR="00263D10" w:rsidRPr="00E83390" w:rsidRDefault="00B634F8" w:rsidP="00E5520D">
      <w:pPr>
        <w:pStyle w:val="NormalWeb"/>
        <w:numPr>
          <w:ilvl w:val="0"/>
          <w:numId w:val="9"/>
        </w:numPr>
        <w:jc w:val="both"/>
        <w:rPr>
          <w:rFonts w:ascii="Calibri" w:eastAsiaTheme="majorEastAsia" w:hAnsi="Calibri" w:cs="Calibri"/>
          <w:b/>
          <w:bCs/>
          <w:color w:val="000000" w:themeColor="text1"/>
        </w:rPr>
      </w:pPr>
      <w:r w:rsidRPr="00E5520D">
        <w:rPr>
          <w:rFonts w:ascii="Calibri" w:hAnsi="Calibri" w:cs="Calibri"/>
          <w:b/>
          <w:bCs/>
          <w:color w:val="000000" w:themeColor="text1"/>
        </w:rPr>
        <w:t>Le</w:t>
      </w:r>
      <w:r w:rsidR="009B19A8" w:rsidRPr="00E5520D">
        <w:rPr>
          <w:rFonts w:ascii="Calibri" w:hAnsi="Calibri" w:cs="Calibri"/>
          <w:b/>
          <w:bCs/>
          <w:color w:val="000000" w:themeColor="text1"/>
        </w:rPr>
        <w:t xml:space="preserve">s </w:t>
      </w:r>
      <w:r w:rsidR="00066EED" w:rsidRPr="00E5520D">
        <w:rPr>
          <w:rFonts w:ascii="Calibri" w:hAnsi="Calibri" w:cs="Calibri"/>
          <w:b/>
          <w:bCs/>
          <w:color w:val="000000" w:themeColor="text1"/>
        </w:rPr>
        <w:t xml:space="preserve">émissions </w:t>
      </w:r>
      <w:r w:rsidR="009B19A8" w:rsidRPr="00E5520D">
        <w:rPr>
          <w:rFonts w:ascii="Calibri" w:hAnsi="Calibri" w:cs="Calibri"/>
          <w:b/>
          <w:bCs/>
          <w:color w:val="000000" w:themeColor="text1"/>
        </w:rPr>
        <w:t>des achats</w:t>
      </w:r>
      <w:r w:rsidR="00C32663" w:rsidRPr="00E5520D">
        <w:rPr>
          <w:rFonts w:ascii="Calibri" w:hAnsi="Calibri" w:cs="Calibri"/>
          <w:color w:val="000000" w:themeColor="text1"/>
        </w:rPr>
        <w:t xml:space="preserve"> </w:t>
      </w:r>
      <w:r w:rsidRPr="00E5520D">
        <w:rPr>
          <w:rFonts w:ascii="Calibri" w:hAnsi="Calibri" w:cs="Calibri"/>
          <w:color w:val="000000" w:themeColor="text1"/>
        </w:rPr>
        <w:t xml:space="preserve">sont celles </w:t>
      </w:r>
      <w:r w:rsidR="00066EED" w:rsidRPr="00E5520D">
        <w:rPr>
          <w:rFonts w:ascii="Calibri" w:hAnsi="Calibri" w:cs="Calibri"/>
          <w:color w:val="000000" w:themeColor="text1"/>
        </w:rPr>
        <w:t>transmises par le fournisseur</w:t>
      </w:r>
      <w:r w:rsidR="00A96995" w:rsidRPr="00E5520D">
        <w:rPr>
          <w:rFonts w:ascii="Calibri" w:hAnsi="Calibri" w:cs="Calibri"/>
          <w:color w:val="000000" w:themeColor="text1"/>
        </w:rPr>
        <w:t xml:space="preserve"> appliquant une méthode équivalente</w:t>
      </w:r>
      <w:r w:rsidR="00263D10" w:rsidRPr="00E5520D">
        <w:rPr>
          <w:rFonts w:ascii="Calibri" w:hAnsi="Calibri" w:cs="Calibri"/>
          <w:color w:val="000000" w:themeColor="text1"/>
        </w:rPr>
        <w:t>. S</w:t>
      </w:r>
      <w:r w:rsidR="006D54A6" w:rsidRPr="00E5520D">
        <w:rPr>
          <w:rFonts w:ascii="Calibri" w:hAnsi="Calibri" w:cs="Calibri"/>
          <w:color w:val="000000" w:themeColor="text1"/>
        </w:rPr>
        <w:t>inon</w:t>
      </w:r>
      <w:r w:rsidR="00263D10" w:rsidRPr="00E5520D">
        <w:rPr>
          <w:rFonts w:ascii="Calibri" w:hAnsi="Calibri" w:cs="Calibri"/>
          <w:color w:val="000000" w:themeColor="text1"/>
        </w:rPr>
        <w:t>, l’e</w:t>
      </w:r>
      <w:r w:rsidR="00EC25C1">
        <w:rPr>
          <w:rFonts w:ascii="Calibri" w:hAnsi="Calibri" w:cs="Calibri"/>
          <w:color w:val="000000" w:themeColor="text1"/>
        </w:rPr>
        <w:t>ntreprise</w:t>
      </w:r>
      <w:r w:rsidR="00263D10" w:rsidRPr="00E5520D">
        <w:rPr>
          <w:rFonts w:ascii="Calibri" w:hAnsi="Calibri" w:cs="Calibri"/>
          <w:color w:val="000000" w:themeColor="text1"/>
        </w:rPr>
        <w:t xml:space="preserve"> multiplie </w:t>
      </w:r>
      <w:r w:rsidR="003341AA" w:rsidRPr="00E5520D">
        <w:rPr>
          <w:rFonts w:ascii="Calibri" w:hAnsi="Calibri" w:cs="Calibri"/>
          <w:color w:val="000000" w:themeColor="text1"/>
        </w:rPr>
        <w:t>l</w:t>
      </w:r>
      <w:r w:rsidR="006436E0" w:rsidRPr="00E5520D">
        <w:rPr>
          <w:rFonts w:ascii="Calibri" w:hAnsi="Calibri" w:cs="Calibri"/>
          <w:color w:val="000000" w:themeColor="text1"/>
        </w:rPr>
        <w:t xml:space="preserve">a quantité </w:t>
      </w:r>
      <w:r w:rsidR="003B2200">
        <w:rPr>
          <w:rFonts w:ascii="Calibri" w:hAnsi="Calibri" w:cs="Calibri"/>
          <w:color w:val="000000" w:themeColor="text1"/>
        </w:rPr>
        <w:t>achet</w:t>
      </w:r>
      <w:r w:rsidR="006436E0" w:rsidRPr="00E5520D">
        <w:rPr>
          <w:rFonts w:ascii="Calibri" w:hAnsi="Calibri" w:cs="Calibri"/>
          <w:color w:val="000000" w:themeColor="text1"/>
        </w:rPr>
        <w:t>ée</w:t>
      </w:r>
      <w:r w:rsidR="000862BD">
        <w:rPr>
          <w:rFonts w:ascii="Calibri" w:hAnsi="Calibri" w:cs="Calibri"/>
          <w:color w:val="000000" w:themeColor="text1"/>
        </w:rPr>
        <w:t xml:space="preserve"> </w:t>
      </w:r>
      <w:r w:rsidR="006436E0" w:rsidRPr="00E5520D">
        <w:rPr>
          <w:rFonts w:ascii="Calibri" w:hAnsi="Calibri" w:cs="Calibri"/>
          <w:color w:val="000000" w:themeColor="text1"/>
        </w:rPr>
        <w:t xml:space="preserve">par une émission unitaire </w:t>
      </w:r>
      <w:r w:rsidR="00EA2ECC">
        <w:rPr>
          <w:rFonts w:ascii="Calibri" w:hAnsi="Calibri" w:cs="Calibri"/>
          <w:color w:val="000000" w:themeColor="text1"/>
        </w:rPr>
        <w:t>tirée</w:t>
      </w:r>
      <w:r w:rsidR="002F3F88" w:rsidRPr="00E5520D">
        <w:rPr>
          <w:rFonts w:ascii="Calibri" w:hAnsi="Calibri" w:cs="Calibri"/>
          <w:color w:val="000000" w:themeColor="text1"/>
        </w:rPr>
        <w:t xml:space="preserve"> </w:t>
      </w:r>
      <w:r w:rsidR="00263D10" w:rsidRPr="00E5520D">
        <w:rPr>
          <w:rFonts w:ascii="Calibri" w:hAnsi="Calibri" w:cs="Calibri"/>
          <w:color w:val="000000" w:themeColor="text1"/>
        </w:rPr>
        <w:t xml:space="preserve">des Comptes nationaux </w:t>
      </w:r>
      <w:r w:rsidR="007451F3">
        <w:rPr>
          <w:rFonts w:ascii="Calibri" w:hAnsi="Calibri" w:cs="Calibri"/>
          <w:color w:val="000000" w:themeColor="text1"/>
        </w:rPr>
        <w:t>carbone</w:t>
      </w:r>
      <w:r w:rsidR="00263D10" w:rsidRPr="00E5520D">
        <w:rPr>
          <w:rFonts w:ascii="Calibri" w:hAnsi="Calibri" w:cs="Calibri"/>
          <w:color w:val="000000" w:themeColor="text1"/>
        </w:rPr>
        <w:t xml:space="preserve"> les plus récents</w:t>
      </w:r>
      <w:r w:rsidR="00455C5E">
        <w:rPr>
          <w:rFonts w:ascii="Calibri" w:hAnsi="Calibri" w:cs="Calibri"/>
          <w:color w:val="000000" w:themeColor="text1"/>
        </w:rPr>
        <w:t xml:space="preserve"> ou d’une autre source</w:t>
      </w:r>
      <w:r w:rsidR="002611F9">
        <w:rPr>
          <w:rFonts w:ascii="Calibri" w:hAnsi="Calibri" w:cs="Calibri"/>
          <w:color w:val="000000" w:themeColor="text1"/>
        </w:rPr>
        <w:t xml:space="preserve"> officielle</w:t>
      </w:r>
      <w:r w:rsidR="00374949">
        <w:rPr>
          <w:rStyle w:val="Appelnotedebasdep"/>
          <w:rFonts w:ascii="Calibri" w:hAnsi="Calibri" w:cs="Calibri"/>
          <w:color w:val="000000" w:themeColor="text1"/>
        </w:rPr>
        <w:footnoteReference w:id="5"/>
      </w:r>
      <w:r w:rsidR="00263D10" w:rsidRPr="00E5520D">
        <w:rPr>
          <w:rFonts w:ascii="Calibri" w:hAnsi="Calibri" w:cs="Calibri"/>
          <w:color w:val="000000" w:themeColor="text1"/>
        </w:rPr>
        <w:t xml:space="preserve">, </w:t>
      </w:r>
      <w:r w:rsidR="008773B2">
        <w:rPr>
          <w:rFonts w:ascii="Calibri" w:hAnsi="Calibri" w:cs="Calibri"/>
          <w:color w:val="000000" w:themeColor="text1"/>
        </w:rPr>
        <w:t xml:space="preserve">augmenté </w:t>
      </w:r>
      <w:r w:rsidR="0022052D" w:rsidRPr="00E5520D">
        <w:rPr>
          <w:rFonts w:ascii="Calibri" w:hAnsi="Calibri" w:cs="Calibri"/>
          <w:color w:val="000000" w:themeColor="text1"/>
        </w:rPr>
        <w:t>d’</w:t>
      </w:r>
      <w:r w:rsidR="00263D10" w:rsidRPr="00E5520D">
        <w:rPr>
          <w:rFonts w:ascii="Calibri" w:hAnsi="Calibri" w:cs="Calibri"/>
          <w:color w:val="000000" w:themeColor="text1"/>
        </w:rPr>
        <w:t>un</w:t>
      </w:r>
      <w:r w:rsidR="00681F42">
        <w:rPr>
          <w:rFonts w:ascii="Calibri" w:hAnsi="Calibri" w:cs="Calibri"/>
          <w:color w:val="000000" w:themeColor="text1"/>
        </w:rPr>
        <w:t xml:space="preserve">e marge </w:t>
      </w:r>
      <w:r w:rsidR="00263D10" w:rsidRPr="00E5520D">
        <w:rPr>
          <w:rFonts w:ascii="Calibri" w:hAnsi="Calibri" w:cs="Calibri"/>
          <w:color w:val="000000" w:themeColor="text1"/>
        </w:rPr>
        <w:t>de prudence</w:t>
      </w:r>
      <w:r w:rsidR="00263D10" w:rsidRPr="0090285F">
        <w:rPr>
          <w:rStyle w:val="Appelnotedebasdep"/>
          <w:rFonts w:ascii="Calibri" w:hAnsi="Calibri" w:cs="Calibri"/>
          <w:color w:val="000000" w:themeColor="text1"/>
        </w:rPr>
        <w:footnoteReference w:id="6"/>
      </w:r>
      <w:r w:rsidR="00263D10" w:rsidRPr="00E5520D">
        <w:rPr>
          <w:rFonts w:ascii="Calibri" w:hAnsi="Calibri" w:cs="Calibri"/>
          <w:color w:val="000000" w:themeColor="text1"/>
        </w:rPr>
        <w:t>.</w:t>
      </w:r>
      <w:r w:rsidR="007515B4" w:rsidRPr="00E5520D">
        <w:rPr>
          <w:rFonts w:ascii="Calibri" w:hAnsi="Calibri" w:cs="Calibri"/>
          <w:color w:val="000000" w:themeColor="text1"/>
        </w:rPr>
        <w:t xml:space="preserve"> </w:t>
      </w:r>
      <w:r w:rsidR="00E5520D" w:rsidRPr="00E83390">
        <w:rPr>
          <w:rFonts w:ascii="Calibri" w:hAnsi="Calibri" w:cs="Calibri"/>
          <w:color w:val="000000" w:themeColor="text1"/>
        </w:rPr>
        <w:t xml:space="preserve">Une petite entreprise peut regrouper </w:t>
      </w:r>
      <w:r w:rsidR="00BF2850">
        <w:rPr>
          <w:rFonts w:ascii="Calibri" w:hAnsi="Calibri" w:cs="Calibri"/>
          <w:color w:val="000000" w:themeColor="text1"/>
        </w:rPr>
        <w:t>s</w:t>
      </w:r>
      <w:r w:rsidR="00E5520D" w:rsidRPr="00E83390">
        <w:rPr>
          <w:rFonts w:ascii="Calibri" w:hAnsi="Calibri" w:cs="Calibri"/>
          <w:color w:val="000000" w:themeColor="text1"/>
        </w:rPr>
        <w:t>es achats</w:t>
      </w:r>
      <w:r w:rsidR="005A3D97">
        <w:rPr>
          <w:rFonts w:ascii="Calibri" w:hAnsi="Calibri" w:cs="Calibri"/>
          <w:color w:val="000000" w:themeColor="text1"/>
        </w:rPr>
        <w:t>,</w:t>
      </w:r>
      <w:r w:rsidR="008548D0">
        <w:rPr>
          <w:rFonts w:ascii="Calibri" w:hAnsi="Calibri" w:cs="Calibri"/>
          <w:color w:val="000000" w:themeColor="text1"/>
        </w:rPr>
        <w:t xml:space="preserve"> en de</w:t>
      </w:r>
      <w:r w:rsidR="00313117">
        <w:rPr>
          <w:rFonts w:ascii="Calibri" w:hAnsi="Calibri" w:cs="Calibri"/>
          <w:color w:val="000000" w:themeColor="text1"/>
        </w:rPr>
        <w:t xml:space="preserve">hors </w:t>
      </w:r>
      <w:r w:rsidR="008548D0">
        <w:rPr>
          <w:rFonts w:ascii="Calibri" w:hAnsi="Calibri" w:cs="Calibri"/>
          <w:color w:val="000000" w:themeColor="text1"/>
        </w:rPr>
        <w:t xml:space="preserve">des </w:t>
      </w:r>
      <w:r w:rsidR="00313117">
        <w:rPr>
          <w:rFonts w:ascii="Calibri" w:hAnsi="Calibri" w:cs="Calibri"/>
          <w:color w:val="000000" w:themeColor="text1"/>
        </w:rPr>
        <w:t xml:space="preserve">branches </w:t>
      </w:r>
      <w:r w:rsidR="00C02F7E">
        <w:rPr>
          <w:rFonts w:ascii="Calibri" w:hAnsi="Calibri" w:cs="Calibri"/>
          <w:color w:val="000000" w:themeColor="text1"/>
        </w:rPr>
        <w:t>significativement supérieures à la moyenne de sa branche</w:t>
      </w:r>
      <w:r w:rsidR="00E5520D" w:rsidRPr="00E83390">
        <w:rPr>
          <w:rFonts w:ascii="Calibri" w:hAnsi="Calibri" w:cs="Calibri"/>
          <w:color w:val="000000" w:themeColor="text1"/>
        </w:rPr>
        <w:t>.</w:t>
      </w:r>
    </w:p>
    <w:p w14:paraId="016FCD02" w14:textId="77777777" w:rsidR="009579F5" w:rsidRDefault="00795FF2" w:rsidP="00D518C1">
      <w:pPr>
        <w:pStyle w:val="NormalWeb"/>
        <w:numPr>
          <w:ilvl w:val="0"/>
          <w:numId w:val="9"/>
        </w:numPr>
        <w:jc w:val="both"/>
        <w:rPr>
          <w:rFonts w:ascii="Calibri" w:eastAsiaTheme="majorEastAsia" w:hAnsi="Calibri" w:cs="Calibri"/>
          <w:color w:val="000000" w:themeColor="text1"/>
        </w:rPr>
      </w:pPr>
      <w:r w:rsidRPr="002D1364">
        <w:rPr>
          <w:rFonts w:ascii="Calibri" w:hAnsi="Calibri" w:cs="Calibri"/>
          <w:b/>
          <w:bCs/>
          <w:color w:val="000000" w:themeColor="text1"/>
        </w:rPr>
        <w:t>Les émissions ajoutées</w:t>
      </w:r>
      <w:r w:rsidR="0062344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F879C8">
        <w:rPr>
          <w:rFonts w:ascii="Calibri" w:hAnsi="Calibri" w:cs="Calibri"/>
          <w:b/>
          <w:bCs/>
          <w:color w:val="000000" w:themeColor="text1"/>
        </w:rPr>
        <w:t xml:space="preserve">(ou retirées) </w:t>
      </w:r>
      <w:r w:rsidR="0062344F">
        <w:rPr>
          <w:rFonts w:ascii="Calibri" w:hAnsi="Calibri" w:cs="Calibri"/>
          <w:b/>
          <w:bCs/>
          <w:color w:val="000000" w:themeColor="text1"/>
        </w:rPr>
        <w:t xml:space="preserve">par les </w:t>
      </w:r>
      <w:r w:rsidR="0062344F" w:rsidRPr="0062344F">
        <w:rPr>
          <w:rFonts w:ascii="Calibri" w:hAnsi="Calibri" w:cs="Calibri"/>
          <w:b/>
          <w:bCs/>
          <w:color w:val="000000" w:themeColor="text1"/>
        </w:rPr>
        <w:t>processus de production</w:t>
      </w:r>
      <w:r w:rsidR="00210DB9" w:rsidRPr="0062344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F44181" w:rsidRPr="00F44181">
        <w:rPr>
          <w:rFonts w:ascii="Calibri" w:hAnsi="Calibri" w:cs="Calibri"/>
          <w:color w:val="000000" w:themeColor="text1"/>
        </w:rPr>
        <w:t>(</w:t>
      </w:r>
      <w:proofErr w:type="gramStart"/>
      <w:r w:rsidR="00F44181" w:rsidRPr="00F44181">
        <w:rPr>
          <w:rFonts w:ascii="Calibri" w:hAnsi="Calibri" w:cs="Calibri"/>
          <w:color w:val="000000" w:themeColor="text1"/>
        </w:rPr>
        <w:t>hors</w:t>
      </w:r>
      <w:proofErr w:type="gramEnd"/>
      <w:r w:rsidR="00F44181">
        <w:rPr>
          <w:rFonts w:ascii="Calibri" w:hAnsi="Calibri" w:cs="Calibri"/>
          <w:b/>
          <w:bCs/>
          <w:color w:val="000000" w:themeColor="text1"/>
        </w:rPr>
        <w:t xml:space="preserve"> </w:t>
      </w:r>
      <w:r w:rsidR="008270F7">
        <w:rPr>
          <w:rFonts w:ascii="Calibri" w:hAnsi="Calibri" w:cs="Calibri"/>
          <w:color w:val="000000" w:themeColor="text1"/>
        </w:rPr>
        <w:t xml:space="preserve">les combustions </w:t>
      </w:r>
      <w:r w:rsidR="00FB7D4A">
        <w:rPr>
          <w:rFonts w:ascii="Calibri" w:hAnsi="Calibri" w:cs="Calibri"/>
          <w:color w:val="000000" w:themeColor="text1"/>
        </w:rPr>
        <w:t xml:space="preserve">déjà </w:t>
      </w:r>
      <w:r w:rsidR="0096527C">
        <w:rPr>
          <w:rFonts w:ascii="Calibri" w:hAnsi="Calibri" w:cs="Calibri"/>
          <w:color w:val="000000" w:themeColor="text1"/>
        </w:rPr>
        <w:t>intégrées aux achats</w:t>
      </w:r>
      <w:r w:rsidR="00151183">
        <w:rPr>
          <w:rFonts w:ascii="Calibri" w:hAnsi="Calibri" w:cs="Calibri"/>
          <w:color w:val="000000" w:themeColor="text1"/>
        </w:rPr>
        <w:t>)</w:t>
      </w:r>
      <w:r w:rsidR="005F7416">
        <w:rPr>
          <w:rFonts w:ascii="Calibri" w:hAnsi="Calibri" w:cs="Calibri"/>
          <w:color w:val="000000" w:themeColor="text1"/>
        </w:rPr>
        <w:t> </w:t>
      </w:r>
      <w:r w:rsidR="00151183">
        <w:rPr>
          <w:rFonts w:ascii="Calibri" w:hAnsi="Calibri" w:cs="Calibri"/>
          <w:color w:val="000000" w:themeColor="text1"/>
        </w:rPr>
        <w:t xml:space="preserve">sont </w:t>
      </w:r>
      <w:r w:rsidR="00157DCA">
        <w:rPr>
          <w:rFonts w:ascii="Calibri" w:hAnsi="Calibri" w:cs="Calibri"/>
          <w:color w:val="000000" w:themeColor="text1"/>
        </w:rPr>
        <w:t xml:space="preserve">établies </w:t>
      </w:r>
      <w:r w:rsidR="00987BA9">
        <w:rPr>
          <w:rFonts w:ascii="Calibri" w:hAnsi="Calibri" w:cs="Calibri"/>
          <w:color w:val="000000" w:themeColor="text1"/>
        </w:rPr>
        <w:t>à</w:t>
      </w:r>
      <w:r w:rsidR="005E5DB1">
        <w:rPr>
          <w:rFonts w:ascii="Calibri" w:hAnsi="Calibri" w:cs="Calibri"/>
          <w:color w:val="000000" w:themeColor="text1"/>
        </w:rPr>
        <w:t xml:space="preserve"> </w:t>
      </w:r>
      <w:r w:rsidR="00420006">
        <w:rPr>
          <w:rFonts w:ascii="Calibri" w:hAnsi="Calibri" w:cs="Calibri"/>
          <w:color w:val="000000" w:themeColor="text1"/>
        </w:rPr>
        <w:t xml:space="preserve">dire d’expert appliquant </w:t>
      </w:r>
      <w:r w:rsidR="009F3400">
        <w:rPr>
          <w:rFonts w:ascii="Calibri" w:hAnsi="Calibri" w:cs="Calibri"/>
          <w:color w:val="000000" w:themeColor="text1"/>
        </w:rPr>
        <w:t>un</w:t>
      </w:r>
      <w:r>
        <w:rPr>
          <w:rFonts w:ascii="Calibri" w:hAnsi="Calibri" w:cs="Calibri"/>
          <w:color w:val="000000" w:themeColor="text1"/>
        </w:rPr>
        <w:t xml:space="preserve"> </w:t>
      </w:r>
      <w:r w:rsidRPr="0090285F">
        <w:rPr>
          <w:rFonts w:ascii="Calibri" w:hAnsi="Calibri" w:cs="Calibri"/>
          <w:color w:val="000000" w:themeColor="text1"/>
        </w:rPr>
        <w:t>protocole</w:t>
      </w:r>
      <w:r w:rsidR="0024638D">
        <w:rPr>
          <w:rFonts w:ascii="Calibri" w:hAnsi="Calibri" w:cs="Calibri"/>
          <w:color w:val="000000" w:themeColor="text1"/>
        </w:rPr>
        <w:t xml:space="preserve"> carbone</w:t>
      </w:r>
      <w:r w:rsidR="00380E59">
        <w:rPr>
          <w:rFonts w:ascii="Calibri" w:hAnsi="Calibri" w:cs="Calibri"/>
          <w:color w:val="000000" w:themeColor="text1"/>
        </w:rPr>
        <w:t> :</w:t>
      </w:r>
      <w:r w:rsidR="00BA5E86">
        <w:rPr>
          <w:rFonts w:ascii="Calibri" w:hAnsi="Calibri" w:cs="Calibri"/>
          <w:color w:val="000000" w:themeColor="text1"/>
        </w:rPr>
        <w:t xml:space="preserve"> </w:t>
      </w:r>
      <w:r w:rsidR="00BA5E86" w:rsidRPr="0090285F">
        <w:rPr>
          <w:rFonts w:ascii="Calibri" w:hAnsi="Calibri" w:cs="Calibri"/>
          <w:color w:val="000000" w:themeColor="text1"/>
        </w:rPr>
        <w:t>Bilan Carbone</w:t>
      </w:r>
      <w:r w:rsidR="00C53236" w:rsidRPr="00C53236">
        <w:rPr>
          <w:rFonts w:ascii="Calibri" w:hAnsi="Calibri" w:cs="Calibri"/>
          <w:color w:val="000000" w:themeColor="text1"/>
          <w:vertAlign w:val="superscript"/>
        </w:rPr>
        <w:t>©</w:t>
      </w:r>
      <w:r w:rsidR="00BA5E86" w:rsidRPr="0090285F">
        <w:rPr>
          <w:rFonts w:ascii="Calibri" w:hAnsi="Calibri" w:cs="Calibri"/>
          <w:color w:val="000000" w:themeColor="text1"/>
        </w:rPr>
        <w:t xml:space="preserve"> </w:t>
      </w:r>
      <w:r w:rsidR="00BA5E86">
        <w:rPr>
          <w:rFonts w:ascii="Calibri" w:hAnsi="Calibri" w:cs="Calibri"/>
          <w:color w:val="000000" w:themeColor="text1"/>
        </w:rPr>
        <w:t xml:space="preserve">ou </w:t>
      </w:r>
      <w:r w:rsidRPr="0090285F">
        <w:rPr>
          <w:rFonts w:ascii="Calibri" w:hAnsi="Calibri" w:cs="Calibri"/>
          <w:color w:val="000000" w:themeColor="text1"/>
        </w:rPr>
        <w:t>GHG Protocol.</w:t>
      </w:r>
    </w:p>
    <w:p w14:paraId="28BD5674" w14:textId="77777777" w:rsidR="00C743D6" w:rsidRDefault="005E77B4" w:rsidP="00C743D6">
      <w:pPr>
        <w:pStyle w:val="NormalWeb"/>
        <w:numPr>
          <w:ilvl w:val="0"/>
          <w:numId w:val="9"/>
        </w:numPr>
        <w:jc w:val="both"/>
        <w:rPr>
          <w:rFonts w:ascii="Calibri" w:eastAsiaTheme="majorEastAsia" w:hAnsi="Calibri" w:cs="Calibri"/>
          <w:color w:val="000000" w:themeColor="text1"/>
        </w:rPr>
      </w:pPr>
      <w:r w:rsidRPr="009579F5">
        <w:rPr>
          <w:rFonts w:ascii="Calibri" w:hAnsi="Calibri" w:cs="Calibri"/>
          <w:b/>
          <w:bCs/>
          <w:color w:val="000000" w:themeColor="text1"/>
        </w:rPr>
        <w:t>L’</w:t>
      </w:r>
      <w:r w:rsidR="00072AFF" w:rsidRPr="009579F5">
        <w:rPr>
          <w:rFonts w:ascii="Calibri" w:hAnsi="Calibri" w:cs="Calibri"/>
          <w:b/>
          <w:bCs/>
          <w:color w:val="000000" w:themeColor="text1"/>
        </w:rPr>
        <w:t>émission transmise au client</w:t>
      </w:r>
      <w:r w:rsidR="006B719A" w:rsidRPr="009579F5">
        <w:rPr>
          <w:rFonts w:ascii="Calibri" w:hAnsi="Calibri" w:cs="Calibri"/>
          <w:color w:val="000000" w:themeColor="text1"/>
        </w:rPr>
        <w:t xml:space="preserve">, </w:t>
      </w:r>
      <w:r w:rsidR="00D518C1" w:rsidRPr="009579F5">
        <w:rPr>
          <w:rFonts w:ascii="Calibri" w:hAnsi="Calibri" w:cs="Calibri"/>
          <w:color w:val="000000" w:themeColor="text1"/>
        </w:rPr>
        <w:t xml:space="preserve">sur la facture ou sur un dispositif équivalent, </w:t>
      </w:r>
      <w:r w:rsidR="003613B3" w:rsidRPr="009579F5">
        <w:rPr>
          <w:rFonts w:ascii="Calibri" w:hAnsi="Calibri" w:cs="Calibri"/>
          <w:color w:val="000000" w:themeColor="text1"/>
        </w:rPr>
        <w:t>est l’</w:t>
      </w:r>
      <w:r w:rsidR="00D518C1" w:rsidRPr="009579F5">
        <w:rPr>
          <w:rFonts w:ascii="Calibri" w:hAnsi="Calibri" w:cs="Calibri"/>
          <w:color w:val="000000" w:themeColor="text1"/>
        </w:rPr>
        <w:t xml:space="preserve">estimation </w:t>
      </w:r>
      <w:r w:rsidR="003613B3" w:rsidRPr="009579F5">
        <w:rPr>
          <w:rFonts w:ascii="Calibri" w:hAnsi="Calibri" w:cs="Calibri"/>
          <w:color w:val="000000" w:themeColor="text1"/>
        </w:rPr>
        <w:t xml:space="preserve">par l’entreprise </w:t>
      </w:r>
      <w:r w:rsidR="00D518C1" w:rsidRPr="009579F5">
        <w:rPr>
          <w:rFonts w:ascii="Calibri" w:hAnsi="Calibri" w:cs="Calibri"/>
          <w:color w:val="000000" w:themeColor="text1"/>
        </w:rPr>
        <w:t>des émissions nécessaires à la fabrication de ce qui est vendu, sur la base de son émission moyenne par euro tirée de s</w:t>
      </w:r>
      <w:r w:rsidR="005E5BD4">
        <w:rPr>
          <w:rFonts w:ascii="Calibri" w:hAnsi="Calibri" w:cs="Calibri"/>
          <w:color w:val="000000" w:themeColor="text1"/>
        </w:rPr>
        <w:t>a</w:t>
      </w:r>
      <w:r w:rsidR="00D518C1" w:rsidRPr="009579F5">
        <w:rPr>
          <w:rFonts w:ascii="Calibri" w:hAnsi="Calibri" w:cs="Calibri"/>
          <w:color w:val="000000" w:themeColor="text1"/>
        </w:rPr>
        <w:t xml:space="preserve"> derni</w:t>
      </w:r>
      <w:r w:rsidR="005E5BD4">
        <w:rPr>
          <w:rFonts w:ascii="Calibri" w:hAnsi="Calibri" w:cs="Calibri"/>
          <w:color w:val="000000" w:themeColor="text1"/>
        </w:rPr>
        <w:t>ère</w:t>
      </w:r>
      <w:r w:rsidR="00D518C1" w:rsidRPr="009579F5">
        <w:rPr>
          <w:rFonts w:ascii="Calibri" w:hAnsi="Calibri" w:cs="Calibri"/>
          <w:color w:val="000000" w:themeColor="text1"/>
        </w:rPr>
        <w:t xml:space="preserve"> </w:t>
      </w:r>
      <w:r w:rsidR="005E5BD4">
        <w:rPr>
          <w:rFonts w:ascii="Calibri" w:hAnsi="Calibri" w:cs="Calibri"/>
          <w:color w:val="000000" w:themeColor="text1"/>
        </w:rPr>
        <w:t>balanc</w:t>
      </w:r>
      <w:r w:rsidR="00D518C1" w:rsidRPr="009579F5">
        <w:rPr>
          <w:rFonts w:ascii="Calibri" w:hAnsi="Calibri" w:cs="Calibri"/>
          <w:color w:val="000000" w:themeColor="text1"/>
        </w:rPr>
        <w:t>e et de ses données de gestion</w:t>
      </w:r>
      <w:r w:rsidR="00D61F26">
        <w:rPr>
          <w:rFonts w:ascii="Calibri" w:hAnsi="Calibri" w:cs="Calibri"/>
          <w:color w:val="000000" w:themeColor="text1"/>
        </w:rPr>
        <w:t>, budgétaires et analytiques</w:t>
      </w:r>
      <w:r w:rsidR="00D518C1" w:rsidRPr="009579F5">
        <w:rPr>
          <w:rFonts w:ascii="Calibri" w:hAnsi="Calibri" w:cs="Calibri"/>
          <w:color w:val="000000" w:themeColor="text1"/>
        </w:rPr>
        <w:t xml:space="preserve">. </w:t>
      </w:r>
    </w:p>
    <w:p w14:paraId="70427171" w14:textId="77777777" w:rsidR="007B1B5E" w:rsidRDefault="00AC0768" w:rsidP="00896F3B">
      <w:pPr>
        <w:pStyle w:val="NormalWeb"/>
        <w:numPr>
          <w:ilvl w:val="0"/>
          <w:numId w:val="9"/>
        </w:numPr>
        <w:spacing w:after="0" w:afterAutospacing="0"/>
        <w:jc w:val="both"/>
        <w:rPr>
          <w:rFonts w:ascii="Calibri" w:eastAsiaTheme="majorEastAsia" w:hAnsi="Calibri" w:cs="Calibri"/>
          <w:color w:val="000000" w:themeColor="text1"/>
        </w:rPr>
      </w:pPr>
      <w:r w:rsidRPr="00896F3B">
        <w:rPr>
          <w:rFonts w:ascii="Calibri" w:hAnsi="Calibri" w:cs="Calibri"/>
          <w:b/>
          <w:bCs/>
          <w:color w:val="000000" w:themeColor="text1"/>
        </w:rPr>
        <w:t>La vérification d</w:t>
      </w:r>
      <w:r w:rsidR="00874778" w:rsidRPr="00896F3B">
        <w:rPr>
          <w:rFonts w:ascii="Calibri" w:hAnsi="Calibri" w:cs="Calibri"/>
          <w:b/>
          <w:bCs/>
          <w:color w:val="000000" w:themeColor="text1"/>
        </w:rPr>
        <w:t>e la balance d’émissions</w:t>
      </w:r>
      <w:r w:rsidR="00E602B2" w:rsidRPr="00896F3B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896F3B">
        <w:rPr>
          <w:rFonts w:ascii="Calibri" w:hAnsi="Calibri" w:cs="Calibri"/>
          <w:b/>
          <w:bCs/>
          <w:color w:val="000000" w:themeColor="text1"/>
        </w:rPr>
        <w:t>par un tiers de confiance</w:t>
      </w:r>
      <w:r w:rsidRPr="00C743D6">
        <w:rPr>
          <w:rFonts w:ascii="Calibri" w:hAnsi="Calibri" w:cs="Calibri"/>
          <w:color w:val="000000" w:themeColor="text1"/>
        </w:rPr>
        <w:t xml:space="preserve"> porte sur</w:t>
      </w:r>
      <w:r w:rsidR="0089522F" w:rsidRPr="00C743D6">
        <w:rPr>
          <w:rFonts w:ascii="Calibri" w:hAnsi="Calibri" w:cs="Calibri"/>
          <w:color w:val="000000" w:themeColor="text1"/>
        </w:rPr>
        <w:t> :</w:t>
      </w:r>
    </w:p>
    <w:p w14:paraId="3986F60A" w14:textId="17FD6CC5" w:rsidR="005E32CA" w:rsidRPr="00896F3B" w:rsidRDefault="005E32CA" w:rsidP="006F1567">
      <w:pPr>
        <w:pStyle w:val="NormalWeb"/>
        <w:numPr>
          <w:ilvl w:val="1"/>
          <w:numId w:val="20"/>
        </w:numPr>
        <w:spacing w:before="0" w:beforeAutospacing="0" w:after="0" w:afterAutospacing="0"/>
        <w:jc w:val="both"/>
        <w:rPr>
          <w:rFonts w:ascii="Calibri" w:eastAsiaTheme="majorEastAsia" w:hAnsi="Calibri" w:cs="Calibri"/>
          <w:color w:val="000000" w:themeColor="text1"/>
        </w:rPr>
      </w:pPr>
      <w:r w:rsidRPr="00896F3B">
        <w:rPr>
          <w:rFonts w:ascii="Calibri" w:hAnsi="Calibri" w:cs="Calibri"/>
          <w:color w:val="000000" w:themeColor="text1"/>
        </w:rPr>
        <w:t>L</w:t>
      </w:r>
      <w:r w:rsidR="00AC0768" w:rsidRPr="00896F3B">
        <w:rPr>
          <w:rFonts w:ascii="Calibri" w:hAnsi="Calibri" w:cs="Calibri"/>
          <w:color w:val="000000" w:themeColor="text1"/>
        </w:rPr>
        <w:t xml:space="preserve">’application rigoureuse des mesures </w:t>
      </w:r>
      <w:r w:rsidR="00CD6951" w:rsidRPr="00896F3B">
        <w:rPr>
          <w:rFonts w:ascii="Calibri" w:hAnsi="Calibri" w:cs="Calibri"/>
          <w:color w:val="000000" w:themeColor="text1"/>
        </w:rPr>
        <w:t>de</w:t>
      </w:r>
      <w:r w:rsidR="005F4E03" w:rsidRPr="00896F3B">
        <w:rPr>
          <w:rFonts w:ascii="Calibri" w:hAnsi="Calibri" w:cs="Calibri"/>
          <w:color w:val="000000" w:themeColor="text1"/>
        </w:rPr>
        <w:t xml:space="preserve">s carbones des achats et des carbones ajoutés, y compris l’existence </w:t>
      </w:r>
      <w:r w:rsidR="008B6643" w:rsidRPr="00896F3B">
        <w:rPr>
          <w:rFonts w:ascii="Calibri" w:hAnsi="Calibri" w:cs="Calibri"/>
          <w:color w:val="000000" w:themeColor="text1"/>
        </w:rPr>
        <w:t>de l’éventuel certificat</w:t>
      </w:r>
      <w:r w:rsidR="00A56664" w:rsidRPr="00896F3B">
        <w:rPr>
          <w:rFonts w:ascii="Calibri" w:hAnsi="Calibri" w:cs="Calibri"/>
          <w:color w:val="000000" w:themeColor="text1"/>
        </w:rPr>
        <w:t xml:space="preserve"> d’expertise des émissions ajoutées</w:t>
      </w:r>
      <w:r w:rsidR="009A18C5" w:rsidRPr="00896F3B">
        <w:rPr>
          <w:rFonts w:ascii="Calibri" w:hAnsi="Calibri" w:cs="Calibri"/>
          <w:color w:val="000000" w:themeColor="text1"/>
        </w:rPr>
        <w:t>, émis sous la responsabilité de cet expert.</w:t>
      </w:r>
    </w:p>
    <w:p w14:paraId="16465871" w14:textId="281A984E" w:rsidR="008410C5" w:rsidRDefault="00145F95" w:rsidP="007B1B5E">
      <w:pPr>
        <w:pStyle w:val="NormalWeb"/>
        <w:numPr>
          <w:ilvl w:val="1"/>
          <w:numId w:val="20"/>
        </w:num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 xml:space="preserve">La vérification par sondage de l’existence et du montant des </w:t>
      </w:r>
      <w:r w:rsidR="00F23191">
        <w:rPr>
          <w:rFonts w:ascii="Calibri" w:hAnsi="Calibri" w:cs="Calibri"/>
          <w:color w:val="000000" w:themeColor="text1"/>
        </w:rPr>
        <w:t>émissions transmises par les fournisseurs</w:t>
      </w:r>
      <w:r w:rsidR="001144FC">
        <w:rPr>
          <w:rFonts w:ascii="Calibri" w:hAnsi="Calibri" w:cs="Calibri"/>
          <w:color w:val="000000" w:themeColor="text1"/>
        </w:rPr>
        <w:t xml:space="preserve"> ; et de l’exhaustivité </w:t>
      </w:r>
      <w:r w:rsidR="00AC0768" w:rsidRPr="001144FC">
        <w:rPr>
          <w:rFonts w:ascii="Calibri" w:hAnsi="Calibri" w:cs="Calibri"/>
          <w:color w:val="000000" w:themeColor="text1"/>
        </w:rPr>
        <w:t xml:space="preserve">des </w:t>
      </w:r>
      <w:r w:rsidR="00DB6308" w:rsidRPr="001144FC">
        <w:rPr>
          <w:rFonts w:ascii="Calibri" w:hAnsi="Calibri" w:cs="Calibri"/>
          <w:color w:val="000000" w:themeColor="text1"/>
        </w:rPr>
        <w:t>émissions transmises aux clients</w:t>
      </w:r>
      <w:r w:rsidR="00603A3B">
        <w:rPr>
          <w:rFonts w:ascii="Calibri" w:hAnsi="Calibri" w:cs="Calibri"/>
          <w:color w:val="000000" w:themeColor="text1"/>
        </w:rPr>
        <w:t>.</w:t>
      </w:r>
    </w:p>
    <w:p w14:paraId="4A4172CF" w14:textId="77777777" w:rsidR="00BB3FC6" w:rsidRDefault="00603A3B" w:rsidP="007B1B5E">
      <w:pPr>
        <w:pStyle w:val="NormalWeb"/>
        <w:numPr>
          <w:ilvl w:val="1"/>
          <w:numId w:val="20"/>
        </w:numPr>
        <w:spacing w:after="0" w:afterAutospacing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L’existence d’</w:t>
      </w:r>
      <w:r w:rsidR="008410C5" w:rsidRPr="008410C5">
        <w:rPr>
          <w:rFonts w:ascii="Calibri" w:hAnsi="Calibri" w:cs="Calibri"/>
        </w:rPr>
        <w:t xml:space="preserve">un déséquilibre positif significatif et répété de </w:t>
      </w:r>
      <w:r>
        <w:rPr>
          <w:rFonts w:ascii="Calibri" w:hAnsi="Calibri" w:cs="Calibri"/>
        </w:rPr>
        <w:t>l</w:t>
      </w:r>
      <w:r w:rsidR="008410C5" w:rsidRPr="008410C5">
        <w:rPr>
          <w:rFonts w:ascii="Calibri" w:hAnsi="Calibri" w:cs="Calibri"/>
        </w:rPr>
        <w:t xml:space="preserve">a balance d’émissions </w:t>
      </w:r>
      <w:r>
        <w:rPr>
          <w:rFonts w:ascii="Calibri" w:hAnsi="Calibri" w:cs="Calibri"/>
        </w:rPr>
        <w:t xml:space="preserve">qui fait </w:t>
      </w:r>
      <w:r w:rsidR="008410C5" w:rsidRPr="008410C5">
        <w:rPr>
          <w:rFonts w:ascii="Calibri" w:hAnsi="Calibri" w:cs="Calibri"/>
        </w:rPr>
        <w:t>perd</w:t>
      </w:r>
      <w:r>
        <w:rPr>
          <w:rFonts w:ascii="Calibri" w:hAnsi="Calibri" w:cs="Calibri"/>
        </w:rPr>
        <w:t>re</w:t>
      </w:r>
      <w:r w:rsidR="008410C5" w:rsidRPr="008410C5">
        <w:rPr>
          <w:rFonts w:ascii="Calibri" w:hAnsi="Calibri" w:cs="Calibri"/>
        </w:rPr>
        <w:t xml:space="preserve"> le droit de transmettre ses émissions à ses clients</w:t>
      </w:r>
      <w:r w:rsidR="008410C5" w:rsidRPr="008410C5">
        <w:rPr>
          <w:rFonts w:ascii="Calibri" w:hAnsi="Calibri" w:cs="Calibri"/>
          <w:color w:val="000000" w:themeColor="text1"/>
        </w:rPr>
        <w:t xml:space="preserve"> </w:t>
      </w:r>
      <w:r w:rsidR="00BB3FC6">
        <w:rPr>
          <w:rFonts w:ascii="Calibri" w:hAnsi="Calibri" w:cs="Calibri"/>
          <w:color w:val="000000" w:themeColor="text1"/>
        </w:rPr>
        <w:t>jusqu’au retour à l’équilibre.</w:t>
      </w:r>
    </w:p>
    <w:p w14:paraId="43AA5DC0" w14:textId="5A6B10DF" w:rsidR="003672DA" w:rsidRDefault="00CE355B" w:rsidP="00C743D6">
      <w:pPr>
        <w:pStyle w:val="NormalWeb"/>
        <w:spacing w:before="0" w:beforeAutospacing="0"/>
        <w:ind w:left="360"/>
        <w:jc w:val="both"/>
        <w:rPr>
          <w:rFonts w:ascii="Calibri" w:hAnsi="Calibri" w:cs="Calibri"/>
          <w:color w:val="000000" w:themeColor="text1"/>
        </w:rPr>
      </w:pPr>
      <w:r w:rsidRPr="008410C5">
        <w:rPr>
          <w:rFonts w:ascii="Calibri" w:hAnsi="Calibri" w:cs="Calibri"/>
          <w:color w:val="000000" w:themeColor="text1"/>
        </w:rPr>
        <w:t>L</w:t>
      </w:r>
      <w:r w:rsidR="00C9011B">
        <w:rPr>
          <w:rFonts w:ascii="Calibri" w:hAnsi="Calibri" w:cs="Calibri"/>
          <w:color w:val="000000" w:themeColor="text1"/>
        </w:rPr>
        <w:t xml:space="preserve">’entreprise </w:t>
      </w:r>
      <w:r w:rsidR="001D35EA">
        <w:rPr>
          <w:rFonts w:ascii="Calibri" w:hAnsi="Calibri" w:cs="Calibri"/>
          <w:color w:val="000000" w:themeColor="text1"/>
        </w:rPr>
        <w:t xml:space="preserve">reste responsable des estimations </w:t>
      </w:r>
      <w:r w:rsidRPr="008410C5">
        <w:rPr>
          <w:rFonts w:ascii="Calibri" w:hAnsi="Calibri" w:cs="Calibri"/>
          <w:color w:val="000000" w:themeColor="text1"/>
        </w:rPr>
        <w:t>a</w:t>
      </w:r>
      <w:r w:rsidR="006C0ED9">
        <w:rPr>
          <w:rFonts w:ascii="Calibri" w:hAnsi="Calibri" w:cs="Calibri"/>
          <w:color w:val="000000" w:themeColor="text1"/>
        </w:rPr>
        <w:t xml:space="preserve">ssociées à ses ventes </w:t>
      </w:r>
      <w:r w:rsidR="00CB3B9C">
        <w:rPr>
          <w:rFonts w:ascii="Calibri" w:hAnsi="Calibri" w:cs="Calibri"/>
          <w:color w:val="000000" w:themeColor="text1"/>
        </w:rPr>
        <w:t xml:space="preserve">et </w:t>
      </w:r>
      <w:r w:rsidRPr="008410C5">
        <w:rPr>
          <w:rFonts w:ascii="Calibri" w:hAnsi="Calibri" w:cs="Calibri"/>
          <w:color w:val="000000" w:themeColor="text1"/>
        </w:rPr>
        <w:t xml:space="preserve">des instruments de gestion </w:t>
      </w:r>
      <w:r w:rsidR="00CB3B9C">
        <w:rPr>
          <w:rFonts w:ascii="Calibri" w:hAnsi="Calibri" w:cs="Calibri"/>
          <w:color w:val="000000" w:themeColor="text1"/>
        </w:rPr>
        <w:t xml:space="preserve">qu’elle met </w:t>
      </w:r>
      <w:r w:rsidRPr="008410C5">
        <w:rPr>
          <w:rFonts w:ascii="Calibri" w:hAnsi="Calibri" w:cs="Calibri"/>
          <w:color w:val="000000" w:themeColor="text1"/>
        </w:rPr>
        <w:t xml:space="preserve">en œuvre pour les </w:t>
      </w:r>
      <w:r w:rsidR="00CB3B9C">
        <w:rPr>
          <w:rFonts w:ascii="Calibri" w:hAnsi="Calibri" w:cs="Calibri"/>
          <w:color w:val="000000" w:themeColor="text1"/>
        </w:rPr>
        <w:t>améliorer</w:t>
      </w:r>
      <w:r w:rsidRPr="008410C5">
        <w:rPr>
          <w:rFonts w:ascii="Calibri" w:hAnsi="Calibri" w:cs="Calibri"/>
          <w:color w:val="000000" w:themeColor="text1"/>
        </w:rPr>
        <w:t>.</w:t>
      </w:r>
      <w:r w:rsidR="00C743D6">
        <w:rPr>
          <w:rFonts w:ascii="Calibri" w:hAnsi="Calibri" w:cs="Calibri"/>
          <w:color w:val="000000" w:themeColor="text1"/>
        </w:rPr>
        <w:t xml:space="preserve"> Elle</w:t>
      </w:r>
      <w:r w:rsidR="007E3C47">
        <w:rPr>
          <w:rFonts w:ascii="Calibri" w:hAnsi="Calibri" w:cs="Calibri"/>
          <w:color w:val="000000" w:themeColor="text1"/>
        </w:rPr>
        <w:t xml:space="preserve"> peut demander </w:t>
      </w:r>
      <w:r w:rsidR="00E52996">
        <w:rPr>
          <w:rFonts w:ascii="Calibri" w:hAnsi="Calibri" w:cs="Calibri"/>
          <w:color w:val="000000" w:themeColor="text1"/>
        </w:rPr>
        <w:t xml:space="preserve">à un tiers de confiance </w:t>
      </w:r>
      <w:r w:rsidR="007E3C47">
        <w:rPr>
          <w:rFonts w:ascii="Calibri" w:hAnsi="Calibri" w:cs="Calibri"/>
          <w:color w:val="000000" w:themeColor="text1"/>
        </w:rPr>
        <w:t xml:space="preserve">une attestation </w:t>
      </w:r>
      <w:r w:rsidR="001918BF">
        <w:rPr>
          <w:rFonts w:ascii="Calibri" w:hAnsi="Calibri" w:cs="Calibri"/>
          <w:color w:val="000000" w:themeColor="text1"/>
        </w:rPr>
        <w:t>de la cohérence de l’estimation d’un produit avec ses données de gestion</w:t>
      </w:r>
      <w:r w:rsidR="00A54D8F">
        <w:rPr>
          <w:rFonts w:ascii="Calibri" w:hAnsi="Calibri" w:cs="Calibri"/>
          <w:color w:val="000000" w:themeColor="text1"/>
        </w:rPr>
        <w:t>.</w:t>
      </w:r>
    </w:p>
    <w:p w14:paraId="7FC8A3F4" w14:textId="77777777" w:rsidR="00FF1872" w:rsidRPr="00687910" w:rsidRDefault="00FF1872" w:rsidP="00206E49">
      <w:pPr>
        <w:pStyle w:val="NormalWeb"/>
        <w:spacing w:before="0" w:beforeAutospacing="0"/>
        <w:jc w:val="both"/>
        <w:rPr>
          <w:rFonts w:ascii="Calibri" w:hAnsi="Calibri" w:cs="Calibri"/>
          <w:color w:val="000000" w:themeColor="text1"/>
        </w:rPr>
      </w:pPr>
    </w:p>
    <w:sectPr w:rsidR="00FF1872" w:rsidRPr="0068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0A0A5" w14:textId="77777777" w:rsidR="008F121D" w:rsidRDefault="008F121D" w:rsidP="006554F2">
      <w:pPr>
        <w:spacing w:after="0" w:line="240" w:lineRule="auto"/>
      </w:pPr>
      <w:r>
        <w:separator/>
      </w:r>
    </w:p>
  </w:endnote>
  <w:endnote w:type="continuationSeparator" w:id="0">
    <w:p w14:paraId="169EA9E7" w14:textId="77777777" w:rsidR="008F121D" w:rsidRDefault="008F121D" w:rsidP="0065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59E1B" w14:textId="77777777" w:rsidR="008F121D" w:rsidRDefault="008F121D" w:rsidP="006554F2">
      <w:pPr>
        <w:spacing w:after="0" w:line="240" w:lineRule="auto"/>
      </w:pPr>
      <w:r>
        <w:separator/>
      </w:r>
    </w:p>
  </w:footnote>
  <w:footnote w:type="continuationSeparator" w:id="0">
    <w:p w14:paraId="4EF49CF2" w14:textId="77777777" w:rsidR="008F121D" w:rsidRDefault="008F121D" w:rsidP="006554F2">
      <w:pPr>
        <w:spacing w:after="0" w:line="240" w:lineRule="auto"/>
      </w:pPr>
      <w:r>
        <w:continuationSeparator/>
      </w:r>
    </w:p>
  </w:footnote>
  <w:footnote w:id="1">
    <w:p w14:paraId="0F34DE5D" w14:textId="083348DA" w:rsidR="00525858" w:rsidRPr="000865F2" w:rsidRDefault="00525858" w:rsidP="000865F2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865F2">
        <w:rPr>
          <w:rStyle w:val="Appelnotedebasdep"/>
          <w:rFonts w:ascii="Calibri" w:hAnsi="Calibri" w:cs="Calibri"/>
          <w:sz w:val="22"/>
          <w:szCs w:val="22"/>
        </w:rPr>
        <w:footnoteRef/>
      </w:r>
      <w:r w:rsidRPr="000865F2">
        <w:rPr>
          <w:rFonts w:ascii="Calibri" w:hAnsi="Calibri" w:cs="Calibri"/>
          <w:sz w:val="22"/>
          <w:szCs w:val="22"/>
        </w:rPr>
        <w:t xml:space="preserve"> Elle est intitulée 3D car elle donne </w:t>
      </w:r>
      <w:r w:rsidR="000865F2" w:rsidRPr="000865F2">
        <w:rPr>
          <w:rFonts w:ascii="Calibri" w:hAnsi="Calibri" w:cs="Calibri"/>
          <w:sz w:val="22"/>
          <w:szCs w:val="22"/>
        </w:rPr>
        <w:t xml:space="preserve">à un flux de produit sa </w:t>
      </w:r>
      <w:r w:rsidRPr="000865F2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0865F2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e</w:t>
      </w:r>
      <w:r w:rsidRPr="000865F2">
        <w:rPr>
          <w:rFonts w:ascii="Calibri" w:hAnsi="Calibri" w:cs="Calibri"/>
          <w:color w:val="000000" w:themeColor="text1"/>
          <w:sz w:val="22"/>
          <w:szCs w:val="22"/>
        </w:rPr>
        <w:t xml:space="preserve"> dimension, à côté des prix et des quantités</w:t>
      </w:r>
      <w:r w:rsidRPr="00363980">
        <w:rPr>
          <w:rFonts w:ascii="Calibri" w:hAnsi="Calibri" w:cs="Calibri"/>
          <w:color w:val="000000" w:themeColor="text1"/>
          <w:sz w:val="22"/>
          <w:szCs w:val="22"/>
        </w:rPr>
        <w:t>.</w:t>
      </w:r>
    </w:p>
  </w:footnote>
  <w:footnote w:id="2">
    <w:p w14:paraId="1AAA94DE" w14:textId="77105344" w:rsidR="000C5008" w:rsidRPr="007606BF" w:rsidRDefault="000C5008" w:rsidP="000C500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606BF">
        <w:rPr>
          <w:rStyle w:val="Appelnotedebasdep"/>
          <w:rFonts w:ascii="Calibri" w:hAnsi="Calibri" w:cs="Calibri"/>
          <w:sz w:val="22"/>
          <w:szCs w:val="22"/>
        </w:rPr>
        <w:footnoteRef/>
      </w:r>
      <w:r w:rsidRPr="007606BF">
        <w:rPr>
          <w:rFonts w:ascii="Calibri" w:hAnsi="Calibri" w:cs="Calibri"/>
          <w:sz w:val="22"/>
          <w:szCs w:val="22"/>
        </w:rPr>
        <w:t xml:space="preserve"> </w:t>
      </w:r>
      <w:r w:rsidRPr="007606BF">
        <w:rPr>
          <w:rFonts w:ascii="Calibri" w:hAnsi="Calibri" w:cs="Calibri"/>
          <w:color w:val="000000" w:themeColor="text1"/>
          <w:sz w:val="22"/>
          <w:szCs w:val="22"/>
        </w:rPr>
        <w:t>Emission </w:t>
      </w:r>
      <w:r w:rsidR="00DC2A3D">
        <w:rPr>
          <w:rFonts w:ascii="Calibri" w:hAnsi="Calibri" w:cs="Calibri"/>
          <w:color w:val="000000" w:themeColor="text1"/>
          <w:sz w:val="22"/>
          <w:szCs w:val="22"/>
        </w:rPr>
        <w:t xml:space="preserve">de GES ou émissions </w:t>
      </w:r>
      <w:r w:rsidRPr="007606BF">
        <w:rPr>
          <w:rFonts w:ascii="Calibri" w:hAnsi="Calibri" w:cs="Calibri"/>
          <w:color w:val="000000" w:themeColor="text1"/>
          <w:sz w:val="22"/>
          <w:szCs w:val="22"/>
        </w:rPr>
        <w:t>désigne une émission vers l’atmosphère ou une capture de gaz à effet de serre mesurée en kilos d’équivalent CO</w:t>
      </w:r>
      <w:r w:rsidRPr="007606BF">
        <w:rPr>
          <w:rFonts w:ascii="Calibri" w:hAnsi="Calibri" w:cs="Calibri"/>
          <w:color w:val="000000" w:themeColor="text1"/>
          <w:sz w:val="22"/>
          <w:szCs w:val="22"/>
          <w:vertAlign w:val="subscript"/>
        </w:rPr>
        <w:t xml:space="preserve">2 </w:t>
      </w:r>
      <w:r w:rsidRPr="007606BF">
        <w:rPr>
          <w:rFonts w:ascii="Calibri" w:hAnsi="Calibri" w:cs="Calibri"/>
          <w:color w:val="000000" w:themeColor="text1"/>
          <w:sz w:val="22"/>
          <w:szCs w:val="22"/>
        </w:rPr>
        <w:t xml:space="preserve">selon les principes des Nations Unies (GIEC et IPBES). </w:t>
      </w:r>
    </w:p>
  </w:footnote>
  <w:footnote w:id="3">
    <w:p w14:paraId="103E6597" w14:textId="33390662" w:rsidR="00711FD0" w:rsidRPr="007606BF" w:rsidRDefault="00711FD0" w:rsidP="00711FD0">
      <w:pPr>
        <w:pStyle w:val="Notedebasdepage"/>
        <w:rPr>
          <w:rFonts w:ascii="Calibri" w:hAnsi="Calibri" w:cs="Calibri"/>
          <w:sz w:val="22"/>
          <w:szCs w:val="22"/>
        </w:rPr>
      </w:pPr>
      <w:r w:rsidRPr="007606BF">
        <w:rPr>
          <w:rStyle w:val="Appelnotedebasdep"/>
          <w:rFonts w:ascii="Calibri" w:hAnsi="Calibri" w:cs="Calibri"/>
          <w:sz w:val="22"/>
          <w:szCs w:val="22"/>
        </w:rPr>
        <w:footnoteRef/>
      </w:r>
      <w:r w:rsidRPr="007606BF">
        <w:rPr>
          <w:rFonts w:ascii="Calibri" w:hAnsi="Calibri" w:cs="Calibri"/>
          <w:sz w:val="22"/>
          <w:szCs w:val="22"/>
        </w:rPr>
        <w:t xml:space="preserve"> </w:t>
      </w:r>
      <w:r w:rsidR="00DA6EC1">
        <w:rPr>
          <w:rFonts w:ascii="Calibri" w:hAnsi="Calibri" w:cs="Calibri"/>
          <w:sz w:val="22"/>
          <w:szCs w:val="22"/>
        </w:rPr>
        <w:t xml:space="preserve">Les émissions des achats </w:t>
      </w:r>
      <w:r w:rsidR="00DA6EC1">
        <w:rPr>
          <w:rFonts w:ascii="Calibri" w:hAnsi="Calibri" w:cs="Calibri"/>
          <w:color w:val="000000" w:themeColor="text1"/>
          <w:sz w:val="22"/>
          <w:szCs w:val="22"/>
        </w:rPr>
        <w:t>c</w:t>
      </w:r>
      <w:r>
        <w:rPr>
          <w:rFonts w:ascii="Calibri" w:hAnsi="Calibri" w:cs="Calibri"/>
          <w:color w:val="000000" w:themeColor="text1"/>
          <w:sz w:val="22"/>
          <w:szCs w:val="22"/>
        </w:rPr>
        <w:t>orrespond</w:t>
      </w:r>
      <w:r w:rsidR="00DA6EC1">
        <w:rPr>
          <w:rFonts w:ascii="Calibri" w:hAnsi="Calibri" w:cs="Calibri"/>
          <w:color w:val="000000" w:themeColor="text1"/>
          <w:sz w:val="22"/>
          <w:szCs w:val="22"/>
        </w:rPr>
        <w:t>ent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aux s</w:t>
      </w:r>
      <w:r w:rsidRPr="007606BF">
        <w:rPr>
          <w:rFonts w:ascii="Calibri" w:hAnsi="Calibri" w:cs="Calibri"/>
          <w:color w:val="000000" w:themeColor="text1"/>
          <w:sz w:val="22"/>
          <w:szCs w:val="22"/>
        </w:rPr>
        <w:t xml:space="preserve">copes 2 et 3 </w:t>
      </w:r>
      <w:proofErr w:type="gramStart"/>
      <w:r w:rsidRPr="007606BF">
        <w:rPr>
          <w:rFonts w:ascii="Calibri" w:hAnsi="Calibri" w:cs="Calibri"/>
          <w:color w:val="000000" w:themeColor="text1"/>
          <w:sz w:val="22"/>
          <w:szCs w:val="22"/>
        </w:rPr>
        <w:t>amont</w:t>
      </w:r>
      <w:proofErr w:type="gramEnd"/>
      <w:r w:rsidRPr="007606BF">
        <w:rPr>
          <w:rFonts w:ascii="Calibri" w:hAnsi="Calibri" w:cs="Calibri"/>
          <w:color w:val="000000" w:themeColor="text1"/>
          <w:sz w:val="22"/>
          <w:szCs w:val="22"/>
        </w:rPr>
        <w:t xml:space="preserve"> des protocoles carbone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et aux</w:t>
      </w:r>
      <w:r w:rsidRPr="007606BF">
        <w:rPr>
          <w:rFonts w:ascii="Calibri" w:hAnsi="Calibri" w:cs="Calibri"/>
          <w:color w:val="000000" w:themeColor="text1"/>
          <w:sz w:val="22"/>
          <w:szCs w:val="22"/>
        </w:rPr>
        <w:t xml:space="preserve"> émissions indirectes du standard E-</w:t>
      </w:r>
      <w:proofErr w:type="spellStart"/>
      <w:r w:rsidRPr="007606BF">
        <w:rPr>
          <w:rFonts w:ascii="Calibri" w:hAnsi="Calibri" w:cs="Calibri"/>
          <w:color w:val="000000" w:themeColor="text1"/>
          <w:sz w:val="22"/>
          <w:szCs w:val="22"/>
        </w:rPr>
        <w:t>liability</w:t>
      </w:r>
      <w:proofErr w:type="spellEnd"/>
      <w:r w:rsidR="00FC5E84">
        <w:rPr>
          <w:rFonts w:ascii="Calibri" w:hAnsi="Calibri" w:cs="Calibri"/>
          <w:color w:val="000000" w:themeColor="text1"/>
          <w:sz w:val="22"/>
          <w:szCs w:val="22"/>
        </w:rPr>
        <w:t>.</w:t>
      </w:r>
    </w:p>
  </w:footnote>
  <w:footnote w:id="4">
    <w:p w14:paraId="4EF820F3" w14:textId="04F30190" w:rsidR="00711FD0" w:rsidRPr="007606BF" w:rsidRDefault="00711FD0" w:rsidP="00711FD0">
      <w:pPr>
        <w:pStyle w:val="Notedebasdepage"/>
        <w:rPr>
          <w:rFonts w:ascii="Calibri" w:hAnsi="Calibri" w:cs="Calibri"/>
          <w:sz w:val="22"/>
          <w:szCs w:val="22"/>
        </w:rPr>
      </w:pPr>
      <w:r w:rsidRPr="007606BF">
        <w:rPr>
          <w:rStyle w:val="Appelnotedebasdep"/>
          <w:rFonts w:ascii="Calibri" w:hAnsi="Calibri" w:cs="Calibri"/>
          <w:sz w:val="22"/>
          <w:szCs w:val="22"/>
        </w:rPr>
        <w:footnoteRef/>
      </w:r>
      <w:r w:rsidRPr="007606BF">
        <w:rPr>
          <w:rFonts w:ascii="Calibri" w:hAnsi="Calibri" w:cs="Calibri"/>
          <w:sz w:val="22"/>
          <w:szCs w:val="22"/>
        </w:rPr>
        <w:t xml:space="preserve"> </w:t>
      </w:r>
      <w:r w:rsidR="00FC5E84">
        <w:rPr>
          <w:rFonts w:ascii="Calibri" w:hAnsi="Calibri" w:cs="Calibri"/>
          <w:sz w:val="22"/>
          <w:szCs w:val="22"/>
        </w:rPr>
        <w:t xml:space="preserve">Les émissions ajoutées </w:t>
      </w:r>
      <w:r w:rsidR="00F53D30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orrespond</w:t>
      </w:r>
      <w:r w:rsidR="00F53D30">
        <w:rPr>
          <w:rFonts w:ascii="Calibri" w:hAnsi="Calibri" w:cs="Calibri"/>
          <w:sz w:val="22"/>
          <w:szCs w:val="22"/>
        </w:rPr>
        <w:t>ent</w:t>
      </w:r>
      <w:r>
        <w:rPr>
          <w:rFonts w:ascii="Calibri" w:hAnsi="Calibri" w:cs="Calibri"/>
          <w:sz w:val="22"/>
          <w:szCs w:val="22"/>
        </w:rPr>
        <w:t xml:space="preserve"> au </w:t>
      </w:r>
      <w:r w:rsidRPr="007606BF">
        <w:rPr>
          <w:rFonts w:ascii="Calibri" w:hAnsi="Calibri" w:cs="Calibri"/>
          <w:color w:val="000000" w:themeColor="text1"/>
          <w:sz w:val="22"/>
          <w:szCs w:val="22"/>
        </w:rPr>
        <w:t xml:space="preserve">scope 1 </w:t>
      </w:r>
      <w:proofErr w:type="gramStart"/>
      <w:r w:rsidRPr="007606BF">
        <w:rPr>
          <w:rFonts w:ascii="Calibri" w:hAnsi="Calibri" w:cs="Calibri"/>
          <w:color w:val="000000" w:themeColor="text1"/>
          <w:sz w:val="22"/>
          <w:szCs w:val="22"/>
        </w:rPr>
        <w:t>des protocoles carbone</w:t>
      </w:r>
      <w:proofErr w:type="gramEnd"/>
      <w:r>
        <w:rPr>
          <w:rFonts w:ascii="Calibri" w:hAnsi="Calibri" w:cs="Calibri"/>
          <w:color w:val="000000" w:themeColor="text1"/>
          <w:sz w:val="22"/>
          <w:szCs w:val="22"/>
        </w:rPr>
        <w:t xml:space="preserve"> et aux</w:t>
      </w:r>
      <w:r w:rsidRPr="007606BF">
        <w:rPr>
          <w:rFonts w:ascii="Calibri" w:hAnsi="Calibri" w:cs="Calibri"/>
          <w:color w:val="000000" w:themeColor="text1"/>
          <w:sz w:val="22"/>
          <w:szCs w:val="22"/>
        </w:rPr>
        <w:t xml:space="preserve"> émissions directes du standard E-</w:t>
      </w:r>
      <w:proofErr w:type="spellStart"/>
      <w:r w:rsidRPr="007606BF">
        <w:rPr>
          <w:rFonts w:ascii="Calibri" w:hAnsi="Calibri" w:cs="Calibri"/>
          <w:color w:val="000000" w:themeColor="text1"/>
          <w:sz w:val="22"/>
          <w:szCs w:val="22"/>
        </w:rPr>
        <w:t>liability</w:t>
      </w:r>
      <w:proofErr w:type="spellEnd"/>
      <w:r w:rsidR="00F53D30">
        <w:rPr>
          <w:rFonts w:ascii="Calibri" w:hAnsi="Calibri" w:cs="Calibri"/>
          <w:color w:val="000000" w:themeColor="text1"/>
          <w:sz w:val="22"/>
          <w:szCs w:val="22"/>
        </w:rPr>
        <w:t>.</w:t>
      </w:r>
    </w:p>
  </w:footnote>
  <w:footnote w:id="5">
    <w:p w14:paraId="1817C077" w14:textId="2FC5C175" w:rsidR="00374949" w:rsidRPr="00374FB2" w:rsidRDefault="00374949" w:rsidP="00374949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74FB2">
        <w:rPr>
          <w:rStyle w:val="Appelnotedebasdep"/>
          <w:rFonts w:ascii="Calibri" w:hAnsi="Calibri" w:cs="Calibri"/>
          <w:sz w:val="22"/>
          <w:szCs w:val="22"/>
        </w:rPr>
        <w:footnoteRef/>
      </w:r>
      <w:r w:rsidRPr="00374FB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 w:rsidRPr="00374FB2">
        <w:rPr>
          <w:rFonts w:ascii="Calibri" w:hAnsi="Calibri" w:cs="Calibri"/>
          <w:sz w:val="22"/>
          <w:szCs w:val="22"/>
        </w:rPr>
        <w:t>entr</w:t>
      </w:r>
      <w:r>
        <w:rPr>
          <w:rFonts w:ascii="Calibri" w:hAnsi="Calibri" w:cs="Calibri"/>
          <w:sz w:val="22"/>
          <w:szCs w:val="22"/>
        </w:rPr>
        <w:t>a</w:t>
      </w:r>
      <w:r w:rsidRPr="00374FB2">
        <w:rPr>
          <w:rFonts w:ascii="Calibri" w:hAnsi="Calibri" w:cs="Calibri"/>
          <w:sz w:val="22"/>
          <w:szCs w:val="22"/>
        </w:rPr>
        <w:t xml:space="preserve">nt </w:t>
      </w:r>
      <w:r>
        <w:rPr>
          <w:rFonts w:ascii="Calibri" w:hAnsi="Calibri" w:cs="Calibri"/>
          <w:sz w:val="22"/>
          <w:szCs w:val="22"/>
        </w:rPr>
        <w:t>d</w:t>
      </w:r>
      <w:r w:rsidRPr="00374FB2">
        <w:rPr>
          <w:rFonts w:ascii="Calibri" w:hAnsi="Calibri" w:cs="Calibri"/>
          <w:sz w:val="22"/>
          <w:szCs w:val="22"/>
        </w:rPr>
        <w:t xml:space="preserve">ans le cadre des </w:t>
      </w:r>
      <w:r w:rsidRPr="00374FB2">
        <w:rPr>
          <w:rFonts w:ascii="Calibri" w:hAnsi="Calibri" w:cs="Calibri"/>
          <w:color w:val="000000" w:themeColor="text1"/>
          <w:sz w:val="22"/>
          <w:szCs w:val="22"/>
        </w:rPr>
        <w:t>statistiques coordonné</w:t>
      </w:r>
      <w:r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374FB2">
        <w:rPr>
          <w:rFonts w:ascii="Calibri" w:hAnsi="Calibri" w:cs="Calibri"/>
          <w:color w:val="000000" w:themeColor="text1"/>
          <w:sz w:val="22"/>
          <w:szCs w:val="22"/>
        </w:rPr>
        <w:t>s par les Nations Unies (</w:t>
      </w:r>
      <w:r w:rsidRPr="00374FB2">
        <w:rPr>
          <w:rStyle w:val="Aucun"/>
          <w:rFonts w:ascii="Calibri" w:hAnsi="Calibri" w:cs="Calibri"/>
          <w:color w:val="000000" w:themeColor="text1"/>
          <w:sz w:val="22"/>
          <w:szCs w:val="22"/>
        </w:rPr>
        <w:t xml:space="preserve">Air Emission </w:t>
      </w:r>
      <w:proofErr w:type="spellStart"/>
      <w:r w:rsidRPr="00374FB2">
        <w:rPr>
          <w:rStyle w:val="Aucun"/>
          <w:rFonts w:ascii="Calibri" w:hAnsi="Calibri" w:cs="Calibri"/>
          <w:color w:val="000000" w:themeColor="text1"/>
          <w:sz w:val="22"/>
          <w:szCs w:val="22"/>
        </w:rPr>
        <w:t>Accounts</w:t>
      </w:r>
      <w:proofErr w:type="spellEnd"/>
      <w:r w:rsidRPr="00374FB2">
        <w:rPr>
          <w:rStyle w:val="Aucun"/>
          <w:rFonts w:ascii="Calibri" w:hAnsi="Calibri" w:cs="Calibri"/>
          <w:color w:val="000000" w:themeColor="text1"/>
          <w:sz w:val="22"/>
          <w:szCs w:val="22"/>
        </w:rPr>
        <w:t xml:space="preserve"> du System of </w:t>
      </w:r>
      <w:proofErr w:type="spellStart"/>
      <w:r w:rsidRPr="00374FB2">
        <w:rPr>
          <w:rStyle w:val="Aucun"/>
          <w:rFonts w:ascii="Calibri" w:hAnsi="Calibri" w:cs="Calibri"/>
          <w:color w:val="000000" w:themeColor="text1"/>
          <w:sz w:val="22"/>
          <w:szCs w:val="22"/>
        </w:rPr>
        <w:t>Environmental</w:t>
      </w:r>
      <w:proofErr w:type="spellEnd"/>
      <w:r w:rsidRPr="00374FB2">
        <w:rPr>
          <w:rStyle w:val="Aucun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374FB2">
        <w:rPr>
          <w:rStyle w:val="Aucun"/>
          <w:rFonts w:ascii="Calibri" w:hAnsi="Calibri" w:cs="Calibri"/>
          <w:color w:val="000000" w:themeColor="text1"/>
          <w:sz w:val="22"/>
          <w:szCs w:val="22"/>
        </w:rPr>
        <w:t>Economic</w:t>
      </w:r>
      <w:proofErr w:type="spellEnd"/>
      <w:r w:rsidRPr="00374FB2">
        <w:rPr>
          <w:rStyle w:val="Aucun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374FB2">
        <w:rPr>
          <w:rStyle w:val="Aucun"/>
          <w:rFonts w:ascii="Calibri" w:hAnsi="Calibri" w:cs="Calibri"/>
          <w:color w:val="000000" w:themeColor="text1"/>
          <w:sz w:val="22"/>
          <w:szCs w:val="22"/>
        </w:rPr>
        <w:t>Accounting</w:t>
      </w:r>
      <w:proofErr w:type="spellEnd"/>
      <w:r w:rsidRPr="00374FB2">
        <w:rPr>
          <w:rStyle w:val="Aucun"/>
          <w:rFonts w:ascii="Calibri" w:hAnsi="Calibri" w:cs="Calibri"/>
          <w:color w:val="000000" w:themeColor="text1"/>
          <w:sz w:val="22"/>
          <w:szCs w:val="22"/>
        </w:rPr>
        <w:t>)</w:t>
      </w:r>
      <w:r w:rsidRPr="00374FB2">
        <w:rPr>
          <w:rFonts w:ascii="Calibri" w:hAnsi="Calibri" w:cs="Calibri"/>
          <w:color w:val="000000" w:themeColor="text1"/>
          <w:sz w:val="22"/>
          <w:szCs w:val="22"/>
        </w:rPr>
        <w:t>.</w:t>
      </w:r>
    </w:p>
  </w:footnote>
  <w:footnote w:id="6">
    <w:p w14:paraId="75D61C89" w14:textId="30CE1B96" w:rsidR="00263D10" w:rsidRPr="007606BF" w:rsidRDefault="00263D10" w:rsidP="00263D10">
      <w:pPr>
        <w:pStyle w:val="Notedebasdepage"/>
        <w:rPr>
          <w:rFonts w:ascii="Calibri" w:hAnsi="Calibri" w:cs="Calibri"/>
          <w:sz w:val="22"/>
          <w:szCs w:val="22"/>
        </w:rPr>
      </w:pPr>
      <w:r w:rsidRPr="007606BF">
        <w:rPr>
          <w:rStyle w:val="Appelnotedebasdep"/>
          <w:rFonts w:ascii="Calibri" w:hAnsi="Calibri" w:cs="Calibri"/>
          <w:sz w:val="22"/>
          <w:szCs w:val="22"/>
        </w:rPr>
        <w:footnoteRef/>
      </w:r>
      <w:r w:rsidRPr="007606BF">
        <w:rPr>
          <w:rFonts w:ascii="Calibri" w:hAnsi="Calibri" w:cs="Calibri"/>
          <w:sz w:val="22"/>
          <w:szCs w:val="22"/>
        </w:rPr>
        <w:t xml:space="preserve"> </w:t>
      </w:r>
      <w:r w:rsidR="00FD017A">
        <w:rPr>
          <w:rFonts w:ascii="Calibri" w:hAnsi="Calibri" w:cs="Calibri"/>
          <w:color w:val="000000" w:themeColor="text1"/>
          <w:sz w:val="22"/>
          <w:szCs w:val="22"/>
        </w:rPr>
        <w:t>L</w:t>
      </w:r>
      <w:r w:rsidR="00681F42">
        <w:rPr>
          <w:rFonts w:ascii="Calibri" w:hAnsi="Calibri" w:cs="Calibri"/>
          <w:color w:val="000000" w:themeColor="text1"/>
          <w:sz w:val="22"/>
          <w:szCs w:val="22"/>
        </w:rPr>
        <w:t xml:space="preserve">a marge </w:t>
      </w:r>
      <w:r w:rsidR="00D97AA2" w:rsidRPr="007606BF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7606BF">
        <w:rPr>
          <w:rFonts w:ascii="Calibri" w:hAnsi="Calibri" w:cs="Calibri"/>
          <w:color w:val="000000" w:themeColor="text1"/>
          <w:sz w:val="22"/>
          <w:szCs w:val="22"/>
        </w:rPr>
        <w:t>uggéré</w:t>
      </w:r>
      <w:r w:rsidR="00681F42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7606BF">
        <w:rPr>
          <w:rFonts w:ascii="Calibri" w:hAnsi="Calibri" w:cs="Calibri"/>
          <w:color w:val="000000" w:themeColor="text1"/>
          <w:sz w:val="22"/>
          <w:szCs w:val="22"/>
        </w:rPr>
        <w:t xml:space="preserve"> à </w:t>
      </w:r>
      <w:r w:rsidR="008773B2">
        <w:rPr>
          <w:rFonts w:ascii="Calibri" w:hAnsi="Calibri" w:cs="Calibri"/>
          <w:color w:val="000000" w:themeColor="text1"/>
          <w:sz w:val="22"/>
          <w:szCs w:val="22"/>
        </w:rPr>
        <w:t xml:space="preserve">+20% </w:t>
      </w:r>
      <w:r w:rsidR="00552865">
        <w:rPr>
          <w:rFonts w:ascii="Calibri" w:hAnsi="Calibri" w:cs="Calibri"/>
          <w:color w:val="000000" w:themeColor="text1"/>
          <w:sz w:val="22"/>
          <w:szCs w:val="22"/>
        </w:rPr>
        <w:t>sera</w:t>
      </w:r>
      <w:r w:rsidR="00002C17">
        <w:rPr>
          <w:rFonts w:ascii="Calibri" w:hAnsi="Calibri" w:cs="Calibri"/>
          <w:color w:val="000000" w:themeColor="text1"/>
          <w:sz w:val="22"/>
          <w:szCs w:val="22"/>
        </w:rPr>
        <w:t xml:space="preserve"> relevé au fur et à mesure du déploiement </w:t>
      </w:r>
      <w:r w:rsidR="00ED09AE">
        <w:rPr>
          <w:rFonts w:ascii="Calibri" w:hAnsi="Calibri" w:cs="Calibri"/>
          <w:color w:val="000000" w:themeColor="text1"/>
          <w:sz w:val="22"/>
          <w:szCs w:val="22"/>
        </w:rPr>
        <w:t xml:space="preserve">de la méthode </w:t>
      </w:r>
      <w:r w:rsidR="00002C17">
        <w:rPr>
          <w:rFonts w:ascii="Calibri" w:hAnsi="Calibri" w:cs="Calibri"/>
          <w:color w:val="000000" w:themeColor="text1"/>
          <w:sz w:val="22"/>
          <w:szCs w:val="22"/>
        </w:rPr>
        <w:t xml:space="preserve">et </w:t>
      </w:r>
      <w:r w:rsidR="00175AFB">
        <w:rPr>
          <w:rFonts w:ascii="Calibri" w:hAnsi="Calibri" w:cs="Calibri"/>
          <w:color w:val="000000" w:themeColor="text1"/>
          <w:sz w:val="22"/>
          <w:szCs w:val="22"/>
        </w:rPr>
        <w:t xml:space="preserve">de la </w:t>
      </w:r>
      <w:r w:rsidR="00F23430">
        <w:rPr>
          <w:rFonts w:ascii="Calibri" w:hAnsi="Calibri" w:cs="Calibri"/>
          <w:color w:val="000000" w:themeColor="text1"/>
          <w:sz w:val="22"/>
          <w:szCs w:val="22"/>
        </w:rPr>
        <w:t xml:space="preserve">constatation d’une meilleure moyenne des </w:t>
      </w:r>
      <w:r w:rsidR="00175AFB">
        <w:rPr>
          <w:rFonts w:ascii="Calibri" w:hAnsi="Calibri" w:cs="Calibri"/>
          <w:color w:val="000000" w:themeColor="text1"/>
          <w:sz w:val="22"/>
          <w:szCs w:val="22"/>
        </w:rPr>
        <w:t xml:space="preserve">entreprises </w:t>
      </w:r>
      <w:r w:rsidR="001C2403">
        <w:rPr>
          <w:rFonts w:ascii="Calibri" w:hAnsi="Calibri" w:cs="Calibri"/>
          <w:color w:val="000000" w:themeColor="text1"/>
          <w:sz w:val="22"/>
          <w:szCs w:val="22"/>
        </w:rPr>
        <w:t>3D</w:t>
      </w:r>
      <w:r w:rsidR="00F23430">
        <w:rPr>
          <w:rFonts w:ascii="Calibri" w:hAnsi="Calibri" w:cs="Calibri"/>
          <w:color w:val="000000" w:themeColor="text1"/>
          <w:sz w:val="22"/>
          <w:szCs w:val="22"/>
        </w:rPr>
        <w:t xml:space="preserve"> par rapport aux autres</w:t>
      </w:r>
      <w:r w:rsidRPr="007606BF">
        <w:rPr>
          <w:rFonts w:ascii="Calibri" w:hAnsi="Calibri" w:cs="Calibri"/>
          <w:color w:val="000000" w:themeColor="text1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19C"/>
    <w:multiLevelType w:val="hybridMultilevel"/>
    <w:tmpl w:val="C90EBBA6"/>
    <w:lvl w:ilvl="0" w:tplc="4E7C4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43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04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2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C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A1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2F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AE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24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56AD6"/>
    <w:multiLevelType w:val="hybridMultilevel"/>
    <w:tmpl w:val="8A987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62DD"/>
    <w:multiLevelType w:val="hybridMultilevel"/>
    <w:tmpl w:val="DA2C7F78"/>
    <w:lvl w:ilvl="0" w:tplc="5A26C7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73E"/>
    <w:multiLevelType w:val="hybridMultilevel"/>
    <w:tmpl w:val="F61C2924"/>
    <w:lvl w:ilvl="0" w:tplc="A55EA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0A32"/>
    <w:multiLevelType w:val="hybridMultilevel"/>
    <w:tmpl w:val="6BDC50CE"/>
    <w:lvl w:ilvl="0" w:tplc="028CFA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7DFA"/>
    <w:multiLevelType w:val="hybridMultilevel"/>
    <w:tmpl w:val="5F780F62"/>
    <w:lvl w:ilvl="0" w:tplc="778CAD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2604F"/>
    <w:multiLevelType w:val="hybridMultilevel"/>
    <w:tmpl w:val="8356235A"/>
    <w:lvl w:ilvl="0" w:tplc="E25ED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37D29"/>
    <w:multiLevelType w:val="hybridMultilevel"/>
    <w:tmpl w:val="AC0021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B19A8"/>
    <w:multiLevelType w:val="hybridMultilevel"/>
    <w:tmpl w:val="CB52B8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321356"/>
    <w:multiLevelType w:val="hybridMultilevel"/>
    <w:tmpl w:val="25383D3E"/>
    <w:lvl w:ilvl="0" w:tplc="A55EA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0D47"/>
    <w:multiLevelType w:val="hybridMultilevel"/>
    <w:tmpl w:val="B07C3BE6"/>
    <w:lvl w:ilvl="0" w:tplc="D89EC1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42ED8"/>
    <w:multiLevelType w:val="hybridMultilevel"/>
    <w:tmpl w:val="B83C6FD6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E80585"/>
    <w:multiLevelType w:val="hybridMultilevel"/>
    <w:tmpl w:val="7840A1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22DCA"/>
    <w:multiLevelType w:val="hybridMultilevel"/>
    <w:tmpl w:val="3048B768"/>
    <w:lvl w:ilvl="0" w:tplc="E25ED3C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00022"/>
    <w:multiLevelType w:val="hybridMultilevel"/>
    <w:tmpl w:val="9E5E13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9F5EA3"/>
    <w:multiLevelType w:val="hybridMultilevel"/>
    <w:tmpl w:val="B0123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A49BC"/>
    <w:multiLevelType w:val="hybridMultilevel"/>
    <w:tmpl w:val="DCBEDE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4DAB"/>
    <w:multiLevelType w:val="hybridMultilevel"/>
    <w:tmpl w:val="D8DAAD7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D7D46"/>
    <w:multiLevelType w:val="hybridMultilevel"/>
    <w:tmpl w:val="49DCF7AE"/>
    <w:lvl w:ilvl="0" w:tplc="1AC6A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70633"/>
    <w:multiLevelType w:val="hybridMultilevel"/>
    <w:tmpl w:val="CA6046F4"/>
    <w:lvl w:ilvl="0" w:tplc="584E3E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062796">
    <w:abstractNumId w:val="15"/>
  </w:num>
  <w:num w:numId="2" w16cid:durableId="368340611">
    <w:abstractNumId w:val="16"/>
  </w:num>
  <w:num w:numId="3" w16cid:durableId="826434878">
    <w:abstractNumId w:val="6"/>
  </w:num>
  <w:num w:numId="4" w16cid:durableId="1708332844">
    <w:abstractNumId w:val="13"/>
  </w:num>
  <w:num w:numId="5" w16cid:durableId="675546270">
    <w:abstractNumId w:val="14"/>
  </w:num>
  <w:num w:numId="6" w16cid:durableId="189728207">
    <w:abstractNumId w:val="18"/>
  </w:num>
  <w:num w:numId="7" w16cid:durableId="1891189998">
    <w:abstractNumId w:val="2"/>
  </w:num>
  <w:num w:numId="8" w16cid:durableId="1582566065">
    <w:abstractNumId w:val="7"/>
  </w:num>
  <w:num w:numId="9" w16cid:durableId="2132085673">
    <w:abstractNumId w:val="12"/>
  </w:num>
  <w:num w:numId="10" w16cid:durableId="989359706">
    <w:abstractNumId w:val="9"/>
  </w:num>
  <w:num w:numId="11" w16cid:durableId="1974600340">
    <w:abstractNumId w:val="3"/>
  </w:num>
  <w:num w:numId="12" w16cid:durableId="1560704072">
    <w:abstractNumId w:val="1"/>
  </w:num>
  <w:num w:numId="13" w16cid:durableId="2088266106">
    <w:abstractNumId w:val="8"/>
  </w:num>
  <w:num w:numId="14" w16cid:durableId="83066384">
    <w:abstractNumId w:val="4"/>
  </w:num>
  <w:num w:numId="15" w16cid:durableId="1259942430">
    <w:abstractNumId w:val="10"/>
  </w:num>
  <w:num w:numId="16" w16cid:durableId="173308567">
    <w:abstractNumId w:val="5"/>
  </w:num>
  <w:num w:numId="17" w16cid:durableId="1057046645">
    <w:abstractNumId w:val="0"/>
  </w:num>
  <w:num w:numId="18" w16cid:durableId="1738698345">
    <w:abstractNumId w:val="19"/>
  </w:num>
  <w:num w:numId="19" w16cid:durableId="804394550">
    <w:abstractNumId w:val="11"/>
  </w:num>
  <w:num w:numId="20" w16cid:durableId="17127986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AF"/>
    <w:rsid w:val="00002B74"/>
    <w:rsid w:val="00002C17"/>
    <w:rsid w:val="000063C8"/>
    <w:rsid w:val="00020C31"/>
    <w:rsid w:val="000210B5"/>
    <w:rsid w:val="00023396"/>
    <w:rsid w:val="0002341D"/>
    <w:rsid w:val="00024A33"/>
    <w:rsid w:val="000301F3"/>
    <w:rsid w:val="00032919"/>
    <w:rsid w:val="00033DF6"/>
    <w:rsid w:val="0003697E"/>
    <w:rsid w:val="00047F15"/>
    <w:rsid w:val="00055EDC"/>
    <w:rsid w:val="00060AB2"/>
    <w:rsid w:val="00060D99"/>
    <w:rsid w:val="00061E05"/>
    <w:rsid w:val="00062B16"/>
    <w:rsid w:val="00066EED"/>
    <w:rsid w:val="00067DD4"/>
    <w:rsid w:val="00070387"/>
    <w:rsid w:val="00072AFF"/>
    <w:rsid w:val="00073ADB"/>
    <w:rsid w:val="00073D98"/>
    <w:rsid w:val="00074127"/>
    <w:rsid w:val="000770E5"/>
    <w:rsid w:val="0008065E"/>
    <w:rsid w:val="00083EDB"/>
    <w:rsid w:val="00085D10"/>
    <w:rsid w:val="000860FA"/>
    <w:rsid w:val="000862BD"/>
    <w:rsid w:val="000865F2"/>
    <w:rsid w:val="000874FD"/>
    <w:rsid w:val="00096750"/>
    <w:rsid w:val="00096955"/>
    <w:rsid w:val="000A1476"/>
    <w:rsid w:val="000A1B5B"/>
    <w:rsid w:val="000A48E0"/>
    <w:rsid w:val="000A4EB7"/>
    <w:rsid w:val="000A5AB1"/>
    <w:rsid w:val="000B15E2"/>
    <w:rsid w:val="000B1B55"/>
    <w:rsid w:val="000B1B9A"/>
    <w:rsid w:val="000B2AA6"/>
    <w:rsid w:val="000B4E7B"/>
    <w:rsid w:val="000B50C0"/>
    <w:rsid w:val="000B5C7C"/>
    <w:rsid w:val="000B7012"/>
    <w:rsid w:val="000C270A"/>
    <w:rsid w:val="000C34FD"/>
    <w:rsid w:val="000C5008"/>
    <w:rsid w:val="000C7265"/>
    <w:rsid w:val="000C7382"/>
    <w:rsid w:val="000D338A"/>
    <w:rsid w:val="000D4D8D"/>
    <w:rsid w:val="000E2D26"/>
    <w:rsid w:val="000E3515"/>
    <w:rsid w:val="000E5EBF"/>
    <w:rsid w:val="000F12E5"/>
    <w:rsid w:val="000F6806"/>
    <w:rsid w:val="001060BE"/>
    <w:rsid w:val="00106E8F"/>
    <w:rsid w:val="001144FC"/>
    <w:rsid w:val="0011519C"/>
    <w:rsid w:val="00120F2D"/>
    <w:rsid w:val="00121711"/>
    <w:rsid w:val="00123C9C"/>
    <w:rsid w:val="0012508B"/>
    <w:rsid w:val="00125AD8"/>
    <w:rsid w:val="001264E4"/>
    <w:rsid w:val="00127658"/>
    <w:rsid w:val="00134D1C"/>
    <w:rsid w:val="00137C74"/>
    <w:rsid w:val="001403FB"/>
    <w:rsid w:val="0014314C"/>
    <w:rsid w:val="00145F95"/>
    <w:rsid w:val="001469F1"/>
    <w:rsid w:val="00147CD5"/>
    <w:rsid w:val="00151183"/>
    <w:rsid w:val="00155B6E"/>
    <w:rsid w:val="00157DCA"/>
    <w:rsid w:val="00160B78"/>
    <w:rsid w:val="00161450"/>
    <w:rsid w:val="001623F9"/>
    <w:rsid w:val="00175AFB"/>
    <w:rsid w:val="00176B4A"/>
    <w:rsid w:val="0018354D"/>
    <w:rsid w:val="001853B4"/>
    <w:rsid w:val="00186A63"/>
    <w:rsid w:val="001918BF"/>
    <w:rsid w:val="0019387E"/>
    <w:rsid w:val="001944A8"/>
    <w:rsid w:val="00195122"/>
    <w:rsid w:val="001B0066"/>
    <w:rsid w:val="001B033B"/>
    <w:rsid w:val="001B230E"/>
    <w:rsid w:val="001B2901"/>
    <w:rsid w:val="001B7730"/>
    <w:rsid w:val="001B7BAB"/>
    <w:rsid w:val="001B7D43"/>
    <w:rsid w:val="001C2403"/>
    <w:rsid w:val="001C4184"/>
    <w:rsid w:val="001C77AD"/>
    <w:rsid w:val="001D35EA"/>
    <w:rsid w:val="001D4903"/>
    <w:rsid w:val="001E0838"/>
    <w:rsid w:val="001E2A99"/>
    <w:rsid w:val="001E5478"/>
    <w:rsid w:val="001E6FA8"/>
    <w:rsid w:val="001E6FD3"/>
    <w:rsid w:val="001E7FA7"/>
    <w:rsid w:val="001F12B4"/>
    <w:rsid w:val="001F5DD9"/>
    <w:rsid w:val="002013D4"/>
    <w:rsid w:val="00202A3E"/>
    <w:rsid w:val="00206E49"/>
    <w:rsid w:val="002104E0"/>
    <w:rsid w:val="00210DB9"/>
    <w:rsid w:val="002139ED"/>
    <w:rsid w:val="002159D4"/>
    <w:rsid w:val="0022052D"/>
    <w:rsid w:val="00221752"/>
    <w:rsid w:val="00222AD0"/>
    <w:rsid w:val="00223336"/>
    <w:rsid w:val="00224BDF"/>
    <w:rsid w:val="0024257F"/>
    <w:rsid w:val="00242C0F"/>
    <w:rsid w:val="0024638D"/>
    <w:rsid w:val="002468C1"/>
    <w:rsid w:val="002468D9"/>
    <w:rsid w:val="002517FF"/>
    <w:rsid w:val="00253564"/>
    <w:rsid w:val="0025512C"/>
    <w:rsid w:val="00256B54"/>
    <w:rsid w:val="0026066E"/>
    <w:rsid w:val="002611F9"/>
    <w:rsid w:val="00263D10"/>
    <w:rsid w:val="00271428"/>
    <w:rsid w:val="00274103"/>
    <w:rsid w:val="00275D32"/>
    <w:rsid w:val="00280371"/>
    <w:rsid w:val="00280424"/>
    <w:rsid w:val="002817AD"/>
    <w:rsid w:val="00282D4F"/>
    <w:rsid w:val="002870E5"/>
    <w:rsid w:val="0029170A"/>
    <w:rsid w:val="00293753"/>
    <w:rsid w:val="00297494"/>
    <w:rsid w:val="002A07ED"/>
    <w:rsid w:val="002A38D4"/>
    <w:rsid w:val="002A634F"/>
    <w:rsid w:val="002B0ED1"/>
    <w:rsid w:val="002B248B"/>
    <w:rsid w:val="002B7653"/>
    <w:rsid w:val="002C0E71"/>
    <w:rsid w:val="002C1FC2"/>
    <w:rsid w:val="002C26E3"/>
    <w:rsid w:val="002C2F33"/>
    <w:rsid w:val="002C6AA1"/>
    <w:rsid w:val="002D0111"/>
    <w:rsid w:val="002D1364"/>
    <w:rsid w:val="002D16CA"/>
    <w:rsid w:val="002D48C0"/>
    <w:rsid w:val="002D5376"/>
    <w:rsid w:val="002D68E4"/>
    <w:rsid w:val="002E19AB"/>
    <w:rsid w:val="002E45E6"/>
    <w:rsid w:val="002E4EE1"/>
    <w:rsid w:val="002E53E4"/>
    <w:rsid w:val="002E784B"/>
    <w:rsid w:val="002F0968"/>
    <w:rsid w:val="002F3F88"/>
    <w:rsid w:val="0030380D"/>
    <w:rsid w:val="00311630"/>
    <w:rsid w:val="00312714"/>
    <w:rsid w:val="00313117"/>
    <w:rsid w:val="0031414C"/>
    <w:rsid w:val="00316E5D"/>
    <w:rsid w:val="00320CA9"/>
    <w:rsid w:val="003220FF"/>
    <w:rsid w:val="00322D97"/>
    <w:rsid w:val="003259D8"/>
    <w:rsid w:val="003341AA"/>
    <w:rsid w:val="00334BDB"/>
    <w:rsid w:val="00335484"/>
    <w:rsid w:val="003355DE"/>
    <w:rsid w:val="00337933"/>
    <w:rsid w:val="003415AD"/>
    <w:rsid w:val="00341C2B"/>
    <w:rsid w:val="00345B04"/>
    <w:rsid w:val="003470B6"/>
    <w:rsid w:val="0035230B"/>
    <w:rsid w:val="00353798"/>
    <w:rsid w:val="00355542"/>
    <w:rsid w:val="00356BAA"/>
    <w:rsid w:val="0035749C"/>
    <w:rsid w:val="00360DB5"/>
    <w:rsid w:val="003613B3"/>
    <w:rsid w:val="00363980"/>
    <w:rsid w:val="00366574"/>
    <w:rsid w:val="00366E04"/>
    <w:rsid w:val="003672DA"/>
    <w:rsid w:val="00367AF4"/>
    <w:rsid w:val="00370EC2"/>
    <w:rsid w:val="00372197"/>
    <w:rsid w:val="00373AF1"/>
    <w:rsid w:val="00374949"/>
    <w:rsid w:val="00374FB2"/>
    <w:rsid w:val="00375522"/>
    <w:rsid w:val="003757E2"/>
    <w:rsid w:val="00380E59"/>
    <w:rsid w:val="00383EFB"/>
    <w:rsid w:val="0038602E"/>
    <w:rsid w:val="00386880"/>
    <w:rsid w:val="00386FAC"/>
    <w:rsid w:val="003875DA"/>
    <w:rsid w:val="0039576F"/>
    <w:rsid w:val="00396E61"/>
    <w:rsid w:val="003A5C08"/>
    <w:rsid w:val="003B2200"/>
    <w:rsid w:val="003B47C5"/>
    <w:rsid w:val="003B5299"/>
    <w:rsid w:val="003B5306"/>
    <w:rsid w:val="003B5FD1"/>
    <w:rsid w:val="003B77AB"/>
    <w:rsid w:val="003C05D3"/>
    <w:rsid w:val="003C172E"/>
    <w:rsid w:val="003C234C"/>
    <w:rsid w:val="003C5862"/>
    <w:rsid w:val="003D452F"/>
    <w:rsid w:val="003E0A74"/>
    <w:rsid w:val="003E1048"/>
    <w:rsid w:val="003E322C"/>
    <w:rsid w:val="003E331A"/>
    <w:rsid w:val="003F716D"/>
    <w:rsid w:val="00400ABE"/>
    <w:rsid w:val="00400B42"/>
    <w:rsid w:val="00420006"/>
    <w:rsid w:val="0042240B"/>
    <w:rsid w:val="00433A33"/>
    <w:rsid w:val="00446198"/>
    <w:rsid w:val="004463C4"/>
    <w:rsid w:val="00453C84"/>
    <w:rsid w:val="004546C8"/>
    <w:rsid w:val="00455C5E"/>
    <w:rsid w:val="004570B0"/>
    <w:rsid w:val="004603D1"/>
    <w:rsid w:val="00461F40"/>
    <w:rsid w:val="00466513"/>
    <w:rsid w:val="00474C44"/>
    <w:rsid w:val="00475A01"/>
    <w:rsid w:val="00484136"/>
    <w:rsid w:val="00491EC4"/>
    <w:rsid w:val="004A053D"/>
    <w:rsid w:val="004A0AA3"/>
    <w:rsid w:val="004A4DDA"/>
    <w:rsid w:val="004A59C7"/>
    <w:rsid w:val="004B4523"/>
    <w:rsid w:val="004B500E"/>
    <w:rsid w:val="004C1C38"/>
    <w:rsid w:val="004C3A28"/>
    <w:rsid w:val="004E18BB"/>
    <w:rsid w:val="004E414E"/>
    <w:rsid w:val="004E429F"/>
    <w:rsid w:val="004E7D8C"/>
    <w:rsid w:val="004F164A"/>
    <w:rsid w:val="00500EC3"/>
    <w:rsid w:val="0050185B"/>
    <w:rsid w:val="00504A62"/>
    <w:rsid w:val="005062B8"/>
    <w:rsid w:val="00510A22"/>
    <w:rsid w:val="00514824"/>
    <w:rsid w:val="005155E6"/>
    <w:rsid w:val="005161C2"/>
    <w:rsid w:val="00525316"/>
    <w:rsid w:val="00525858"/>
    <w:rsid w:val="00533EF4"/>
    <w:rsid w:val="005350FF"/>
    <w:rsid w:val="0053637B"/>
    <w:rsid w:val="005458B9"/>
    <w:rsid w:val="00552865"/>
    <w:rsid w:val="005554F4"/>
    <w:rsid w:val="00556EE7"/>
    <w:rsid w:val="00556F60"/>
    <w:rsid w:val="00564DF8"/>
    <w:rsid w:val="0057370A"/>
    <w:rsid w:val="00576EBA"/>
    <w:rsid w:val="0058075D"/>
    <w:rsid w:val="00580FA7"/>
    <w:rsid w:val="00582FAC"/>
    <w:rsid w:val="00587668"/>
    <w:rsid w:val="00594A90"/>
    <w:rsid w:val="00595A09"/>
    <w:rsid w:val="005A1655"/>
    <w:rsid w:val="005A3D97"/>
    <w:rsid w:val="005B3C33"/>
    <w:rsid w:val="005C0407"/>
    <w:rsid w:val="005C5688"/>
    <w:rsid w:val="005C7343"/>
    <w:rsid w:val="005D192A"/>
    <w:rsid w:val="005D659A"/>
    <w:rsid w:val="005D7597"/>
    <w:rsid w:val="005E32CA"/>
    <w:rsid w:val="005E3A30"/>
    <w:rsid w:val="005E5BD4"/>
    <w:rsid w:val="005E5DB1"/>
    <w:rsid w:val="005E77B4"/>
    <w:rsid w:val="005F4E03"/>
    <w:rsid w:val="005F5FDD"/>
    <w:rsid w:val="005F7416"/>
    <w:rsid w:val="00603A3B"/>
    <w:rsid w:val="00606CFD"/>
    <w:rsid w:val="006135E5"/>
    <w:rsid w:val="006212F4"/>
    <w:rsid w:val="0062344F"/>
    <w:rsid w:val="00624FBC"/>
    <w:rsid w:val="00632A01"/>
    <w:rsid w:val="006339F3"/>
    <w:rsid w:val="00636FBF"/>
    <w:rsid w:val="00641A37"/>
    <w:rsid w:val="0064297F"/>
    <w:rsid w:val="006431D2"/>
    <w:rsid w:val="006436E0"/>
    <w:rsid w:val="00645395"/>
    <w:rsid w:val="00645AA6"/>
    <w:rsid w:val="006463A0"/>
    <w:rsid w:val="00651CCD"/>
    <w:rsid w:val="006554F2"/>
    <w:rsid w:val="00664324"/>
    <w:rsid w:val="006712B2"/>
    <w:rsid w:val="006807C3"/>
    <w:rsid w:val="00680DFC"/>
    <w:rsid w:val="00681F42"/>
    <w:rsid w:val="00682BBD"/>
    <w:rsid w:val="00687910"/>
    <w:rsid w:val="006906B6"/>
    <w:rsid w:val="0069174F"/>
    <w:rsid w:val="00691949"/>
    <w:rsid w:val="0069633A"/>
    <w:rsid w:val="006B14E3"/>
    <w:rsid w:val="006B1E84"/>
    <w:rsid w:val="006B5596"/>
    <w:rsid w:val="006B5B5F"/>
    <w:rsid w:val="006B719A"/>
    <w:rsid w:val="006C0ED9"/>
    <w:rsid w:val="006C36C9"/>
    <w:rsid w:val="006D54A6"/>
    <w:rsid w:val="006D6F31"/>
    <w:rsid w:val="006E00E7"/>
    <w:rsid w:val="006E1309"/>
    <w:rsid w:val="006E2A9E"/>
    <w:rsid w:val="006E2CD1"/>
    <w:rsid w:val="006E4C67"/>
    <w:rsid w:val="006F1033"/>
    <w:rsid w:val="006F1567"/>
    <w:rsid w:val="006F602A"/>
    <w:rsid w:val="00701C3D"/>
    <w:rsid w:val="0070636B"/>
    <w:rsid w:val="00706489"/>
    <w:rsid w:val="00711FD0"/>
    <w:rsid w:val="00712BE4"/>
    <w:rsid w:val="00713D15"/>
    <w:rsid w:val="00714B1F"/>
    <w:rsid w:val="00714B20"/>
    <w:rsid w:val="00716DCF"/>
    <w:rsid w:val="00720D35"/>
    <w:rsid w:val="00730865"/>
    <w:rsid w:val="007315F3"/>
    <w:rsid w:val="00735C44"/>
    <w:rsid w:val="007368A5"/>
    <w:rsid w:val="00736CC7"/>
    <w:rsid w:val="007451F3"/>
    <w:rsid w:val="007515B4"/>
    <w:rsid w:val="00751C02"/>
    <w:rsid w:val="007531A3"/>
    <w:rsid w:val="007606BF"/>
    <w:rsid w:val="00761C18"/>
    <w:rsid w:val="0077285C"/>
    <w:rsid w:val="00774DCE"/>
    <w:rsid w:val="00775544"/>
    <w:rsid w:val="007818D7"/>
    <w:rsid w:val="0078671E"/>
    <w:rsid w:val="007903EF"/>
    <w:rsid w:val="007914CB"/>
    <w:rsid w:val="00793360"/>
    <w:rsid w:val="00793B7B"/>
    <w:rsid w:val="00795FF2"/>
    <w:rsid w:val="007A2571"/>
    <w:rsid w:val="007A56EA"/>
    <w:rsid w:val="007B1B5E"/>
    <w:rsid w:val="007B41B5"/>
    <w:rsid w:val="007B513E"/>
    <w:rsid w:val="007B79B5"/>
    <w:rsid w:val="007C0786"/>
    <w:rsid w:val="007D1E1B"/>
    <w:rsid w:val="007D2772"/>
    <w:rsid w:val="007D2D6E"/>
    <w:rsid w:val="007D42F7"/>
    <w:rsid w:val="007D4A77"/>
    <w:rsid w:val="007D4C26"/>
    <w:rsid w:val="007D6C13"/>
    <w:rsid w:val="007E20D8"/>
    <w:rsid w:val="007E3C47"/>
    <w:rsid w:val="007E4730"/>
    <w:rsid w:val="007F05E7"/>
    <w:rsid w:val="007F15A9"/>
    <w:rsid w:val="007F387D"/>
    <w:rsid w:val="007F7838"/>
    <w:rsid w:val="008111E1"/>
    <w:rsid w:val="00812295"/>
    <w:rsid w:val="008154AE"/>
    <w:rsid w:val="008179A2"/>
    <w:rsid w:val="00821040"/>
    <w:rsid w:val="0082362B"/>
    <w:rsid w:val="00823D0C"/>
    <w:rsid w:val="008270F7"/>
    <w:rsid w:val="00831049"/>
    <w:rsid w:val="00831D56"/>
    <w:rsid w:val="00832424"/>
    <w:rsid w:val="00833DCA"/>
    <w:rsid w:val="00837667"/>
    <w:rsid w:val="00840EBD"/>
    <w:rsid w:val="008410C5"/>
    <w:rsid w:val="0084116B"/>
    <w:rsid w:val="00842B98"/>
    <w:rsid w:val="00844AA4"/>
    <w:rsid w:val="00852A04"/>
    <w:rsid w:val="008548D0"/>
    <w:rsid w:val="00856F0A"/>
    <w:rsid w:val="008576A4"/>
    <w:rsid w:val="0086078E"/>
    <w:rsid w:val="00861BB8"/>
    <w:rsid w:val="00862620"/>
    <w:rsid w:val="00863199"/>
    <w:rsid w:val="008631E7"/>
    <w:rsid w:val="00870314"/>
    <w:rsid w:val="00874778"/>
    <w:rsid w:val="00875EF3"/>
    <w:rsid w:val="008773B2"/>
    <w:rsid w:val="00877401"/>
    <w:rsid w:val="00880E59"/>
    <w:rsid w:val="008819DA"/>
    <w:rsid w:val="0088269B"/>
    <w:rsid w:val="008843F9"/>
    <w:rsid w:val="0088649A"/>
    <w:rsid w:val="0088673F"/>
    <w:rsid w:val="00887995"/>
    <w:rsid w:val="00890B54"/>
    <w:rsid w:val="00894F26"/>
    <w:rsid w:val="0089522F"/>
    <w:rsid w:val="00896F3B"/>
    <w:rsid w:val="00897950"/>
    <w:rsid w:val="008A4852"/>
    <w:rsid w:val="008A6310"/>
    <w:rsid w:val="008A6FD6"/>
    <w:rsid w:val="008B15D3"/>
    <w:rsid w:val="008B6643"/>
    <w:rsid w:val="008C05EB"/>
    <w:rsid w:val="008C0E97"/>
    <w:rsid w:val="008C10CA"/>
    <w:rsid w:val="008C3BC2"/>
    <w:rsid w:val="008C7166"/>
    <w:rsid w:val="008D3861"/>
    <w:rsid w:val="008D5FE8"/>
    <w:rsid w:val="008E0120"/>
    <w:rsid w:val="008E21C2"/>
    <w:rsid w:val="008E2563"/>
    <w:rsid w:val="008F0558"/>
    <w:rsid w:val="008F1196"/>
    <w:rsid w:val="008F121D"/>
    <w:rsid w:val="008F6B3F"/>
    <w:rsid w:val="009001AD"/>
    <w:rsid w:val="0090285F"/>
    <w:rsid w:val="00903037"/>
    <w:rsid w:val="00903E53"/>
    <w:rsid w:val="00904CA0"/>
    <w:rsid w:val="00906A1D"/>
    <w:rsid w:val="00911088"/>
    <w:rsid w:val="00911823"/>
    <w:rsid w:val="00920A0E"/>
    <w:rsid w:val="009235A7"/>
    <w:rsid w:val="00924046"/>
    <w:rsid w:val="00924D8B"/>
    <w:rsid w:val="009263B8"/>
    <w:rsid w:val="00927A1B"/>
    <w:rsid w:val="00927D60"/>
    <w:rsid w:val="00931A30"/>
    <w:rsid w:val="0093298D"/>
    <w:rsid w:val="0093607A"/>
    <w:rsid w:val="00937B08"/>
    <w:rsid w:val="00940F74"/>
    <w:rsid w:val="00943171"/>
    <w:rsid w:val="00946570"/>
    <w:rsid w:val="00947296"/>
    <w:rsid w:val="00951110"/>
    <w:rsid w:val="009512E1"/>
    <w:rsid w:val="009579F5"/>
    <w:rsid w:val="00957F04"/>
    <w:rsid w:val="009616EE"/>
    <w:rsid w:val="00964E66"/>
    <w:rsid w:val="0096513E"/>
    <w:rsid w:val="0096527C"/>
    <w:rsid w:val="00973249"/>
    <w:rsid w:val="0097678E"/>
    <w:rsid w:val="00982E0C"/>
    <w:rsid w:val="00987BA9"/>
    <w:rsid w:val="0099004C"/>
    <w:rsid w:val="00994B5D"/>
    <w:rsid w:val="0099534E"/>
    <w:rsid w:val="00996753"/>
    <w:rsid w:val="009979DC"/>
    <w:rsid w:val="009A18C5"/>
    <w:rsid w:val="009A466A"/>
    <w:rsid w:val="009A64A0"/>
    <w:rsid w:val="009A711B"/>
    <w:rsid w:val="009A7CE1"/>
    <w:rsid w:val="009B19A8"/>
    <w:rsid w:val="009B35CA"/>
    <w:rsid w:val="009B35FB"/>
    <w:rsid w:val="009C0048"/>
    <w:rsid w:val="009C127D"/>
    <w:rsid w:val="009C3674"/>
    <w:rsid w:val="009C47B1"/>
    <w:rsid w:val="009C58D0"/>
    <w:rsid w:val="009C6474"/>
    <w:rsid w:val="009C6AF9"/>
    <w:rsid w:val="009D16BF"/>
    <w:rsid w:val="009D2D2A"/>
    <w:rsid w:val="009D4E45"/>
    <w:rsid w:val="009D5AFF"/>
    <w:rsid w:val="009E3996"/>
    <w:rsid w:val="009E5839"/>
    <w:rsid w:val="009E5A1E"/>
    <w:rsid w:val="009E7AA0"/>
    <w:rsid w:val="009F3400"/>
    <w:rsid w:val="009F5169"/>
    <w:rsid w:val="00A01125"/>
    <w:rsid w:val="00A25A5F"/>
    <w:rsid w:val="00A30A32"/>
    <w:rsid w:val="00A41B13"/>
    <w:rsid w:val="00A4792D"/>
    <w:rsid w:val="00A50F3D"/>
    <w:rsid w:val="00A512A5"/>
    <w:rsid w:val="00A52A2F"/>
    <w:rsid w:val="00A54D8F"/>
    <w:rsid w:val="00A55A40"/>
    <w:rsid w:val="00A56664"/>
    <w:rsid w:val="00A60BCA"/>
    <w:rsid w:val="00A60DFB"/>
    <w:rsid w:val="00A616E3"/>
    <w:rsid w:val="00A62570"/>
    <w:rsid w:val="00A65351"/>
    <w:rsid w:val="00A71448"/>
    <w:rsid w:val="00A742EC"/>
    <w:rsid w:val="00A76894"/>
    <w:rsid w:val="00A81C50"/>
    <w:rsid w:val="00A843E3"/>
    <w:rsid w:val="00A84C63"/>
    <w:rsid w:val="00A96995"/>
    <w:rsid w:val="00AA1A05"/>
    <w:rsid w:val="00AA26C2"/>
    <w:rsid w:val="00AB277A"/>
    <w:rsid w:val="00AB5410"/>
    <w:rsid w:val="00AB6D23"/>
    <w:rsid w:val="00AB71D1"/>
    <w:rsid w:val="00AC0768"/>
    <w:rsid w:val="00AC3D76"/>
    <w:rsid w:val="00AC426B"/>
    <w:rsid w:val="00AC4327"/>
    <w:rsid w:val="00AD0B7D"/>
    <w:rsid w:val="00AD15C1"/>
    <w:rsid w:val="00AD5C7E"/>
    <w:rsid w:val="00AE0279"/>
    <w:rsid w:val="00AE37C4"/>
    <w:rsid w:val="00AE7549"/>
    <w:rsid w:val="00AF0D16"/>
    <w:rsid w:val="00AF1FB6"/>
    <w:rsid w:val="00AF2D1A"/>
    <w:rsid w:val="00AF34E3"/>
    <w:rsid w:val="00AF4901"/>
    <w:rsid w:val="00AF519D"/>
    <w:rsid w:val="00AF5B69"/>
    <w:rsid w:val="00AF6AA4"/>
    <w:rsid w:val="00B02157"/>
    <w:rsid w:val="00B022C4"/>
    <w:rsid w:val="00B030AF"/>
    <w:rsid w:val="00B03AF1"/>
    <w:rsid w:val="00B05481"/>
    <w:rsid w:val="00B07005"/>
    <w:rsid w:val="00B15737"/>
    <w:rsid w:val="00B27B28"/>
    <w:rsid w:val="00B27CBC"/>
    <w:rsid w:val="00B30652"/>
    <w:rsid w:val="00B318F6"/>
    <w:rsid w:val="00B31B1C"/>
    <w:rsid w:val="00B33017"/>
    <w:rsid w:val="00B3423F"/>
    <w:rsid w:val="00B4177B"/>
    <w:rsid w:val="00B430C9"/>
    <w:rsid w:val="00B43F14"/>
    <w:rsid w:val="00B50EEB"/>
    <w:rsid w:val="00B61F36"/>
    <w:rsid w:val="00B62FA6"/>
    <w:rsid w:val="00B634F8"/>
    <w:rsid w:val="00B66C85"/>
    <w:rsid w:val="00B7127C"/>
    <w:rsid w:val="00B7371D"/>
    <w:rsid w:val="00B7493E"/>
    <w:rsid w:val="00B75410"/>
    <w:rsid w:val="00B76C4B"/>
    <w:rsid w:val="00B779D0"/>
    <w:rsid w:val="00B808B1"/>
    <w:rsid w:val="00B85489"/>
    <w:rsid w:val="00B9246D"/>
    <w:rsid w:val="00B97334"/>
    <w:rsid w:val="00BA0B33"/>
    <w:rsid w:val="00BA2529"/>
    <w:rsid w:val="00BA4EF2"/>
    <w:rsid w:val="00BA5E86"/>
    <w:rsid w:val="00BB3FC6"/>
    <w:rsid w:val="00BB7EA7"/>
    <w:rsid w:val="00BC5609"/>
    <w:rsid w:val="00BC5856"/>
    <w:rsid w:val="00BD428E"/>
    <w:rsid w:val="00BD56B2"/>
    <w:rsid w:val="00BE32CB"/>
    <w:rsid w:val="00BE3ACE"/>
    <w:rsid w:val="00BE4474"/>
    <w:rsid w:val="00BE7B07"/>
    <w:rsid w:val="00BF2850"/>
    <w:rsid w:val="00C00A5B"/>
    <w:rsid w:val="00C02F7E"/>
    <w:rsid w:val="00C04E90"/>
    <w:rsid w:val="00C10A0C"/>
    <w:rsid w:val="00C1188C"/>
    <w:rsid w:val="00C11E65"/>
    <w:rsid w:val="00C12D97"/>
    <w:rsid w:val="00C1361E"/>
    <w:rsid w:val="00C1420C"/>
    <w:rsid w:val="00C162F5"/>
    <w:rsid w:val="00C17BBB"/>
    <w:rsid w:val="00C20B9D"/>
    <w:rsid w:val="00C217BE"/>
    <w:rsid w:val="00C275F7"/>
    <w:rsid w:val="00C32663"/>
    <w:rsid w:val="00C342E1"/>
    <w:rsid w:val="00C4219E"/>
    <w:rsid w:val="00C432CD"/>
    <w:rsid w:val="00C447E3"/>
    <w:rsid w:val="00C46000"/>
    <w:rsid w:val="00C47C66"/>
    <w:rsid w:val="00C52365"/>
    <w:rsid w:val="00C53236"/>
    <w:rsid w:val="00C53AE7"/>
    <w:rsid w:val="00C56B72"/>
    <w:rsid w:val="00C60FC0"/>
    <w:rsid w:val="00C64BA3"/>
    <w:rsid w:val="00C67EE2"/>
    <w:rsid w:val="00C743D6"/>
    <w:rsid w:val="00C74D55"/>
    <w:rsid w:val="00C74DFA"/>
    <w:rsid w:val="00C824F7"/>
    <w:rsid w:val="00C9011B"/>
    <w:rsid w:val="00C93F0A"/>
    <w:rsid w:val="00C97ABD"/>
    <w:rsid w:val="00CA3931"/>
    <w:rsid w:val="00CA3A2D"/>
    <w:rsid w:val="00CB0648"/>
    <w:rsid w:val="00CB0773"/>
    <w:rsid w:val="00CB3B9C"/>
    <w:rsid w:val="00CC5453"/>
    <w:rsid w:val="00CD1AB5"/>
    <w:rsid w:val="00CD32DC"/>
    <w:rsid w:val="00CD57EB"/>
    <w:rsid w:val="00CD6951"/>
    <w:rsid w:val="00CD6BDE"/>
    <w:rsid w:val="00CE02A3"/>
    <w:rsid w:val="00CE3122"/>
    <w:rsid w:val="00CE355B"/>
    <w:rsid w:val="00CE3C7E"/>
    <w:rsid w:val="00CF42F1"/>
    <w:rsid w:val="00D01196"/>
    <w:rsid w:val="00D038EC"/>
    <w:rsid w:val="00D104E7"/>
    <w:rsid w:val="00D11BC3"/>
    <w:rsid w:val="00D21115"/>
    <w:rsid w:val="00D251C6"/>
    <w:rsid w:val="00D27DD0"/>
    <w:rsid w:val="00D403A9"/>
    <w:rsid w:val="00D43CF1"/>
    <w:rsid w:val="00D518C1"/>
    <w:rsid w:val="00D52737"/>
    <w:rsid w:val="00D61F26"/>
    <w:rsid w:val="00D64A9E"/>
    <w:rsid w:val="00D7551E"/>
    <w:rsid w:val="00D772F7"/>
    <w:rsid w:val="00D7775F"/>
    <w:rsid w:val="00D777D5"/>
    <w:rsid w:val="00D80244"/>
    <w:rsid w:val="00D875A6"/>
    <w:rsid w:val="00D968AD"/>
    <w:rsid w:val="00D97AA2"/>
    <w:rsid w:val="00DA0B3B"/>
    <w:rsid w:val="00DA6EC1"/>
    <w:rsid w:val="00DB2682"/>
    <w:rsid w:val="00DB28FB"/>
    <w:rsid w:val="00DB4838"/>
    <w:rsid w:val="00DB5A91"/>
    <w:rsid w:val="00DB606A"/>
    <w:rsid w:val="00DB6308"/>
    <w:rsid w:val="00DB72AF"/>
    <w:rsid w:val="00DC0CF4"/>
    <w:rsid w:val="00DC2A3D"/>
    <w:rsid w:val="00DC2E12"/>
    <w:rsid w:val="00DC3094"/>
    <w:rsid w:val="00DC6AD4"/>
    <w:rsid w:val="00DC6D5A"/>
    <w:rsid w:val="00DD20CC"/>
    <w:rsid w:val="00DD6D42"/>
    <w:rsid w:val="00DE1DA6"/>
    <w:rsid w:val="00DE75F1"/>
    <w:rsid w:val="00DF2A7A"/>
    <w:rsid w:val="00DF2A91"/>
    <w:rsid w:val="00DF5CE3"/>
    <w:rsid w:val="00DF76E4"/>
    <w:rsid w:val="00E018C7"/>
    <w:rsid w:val="00E06108"/>
    <w:rsid w:val="00E10DF7"/>
    <w:rsid w:val="00E277D0"/>
    <w:rsid w:val="00E3370F"/>
    <w:rsid w:val="00E34F85"/>
    <w:rsid w:val="00E40087"/>
    <w:rsid w:val="00E414F7"/>
    <w:rsid w:val="00E52996"/>
    <w:rsid w:val="00E5520D"/>
    <w:rsid w:val="00E602B2"/>
    <w:rsid w:val="00E60FDD"/>
    <w:rsid w:val="00E625A2"/>
    <w:rsid w:val="00E6387B"/>
    <w:rsid w:val="00E659FB"/>
    <w:rsid w:val="00E66DA3"/>
    <w:rsid w:val="00E66F40"/>
    <w:rsid w:val="00E73BAC"/>
    <w:rsid w:val="00E73FCE"/>
    <w:rsid w:val="00E7539D"/>
    <w:rsid w:val="00E77047"/>
    <w:rsid w:val="00E8114F"/>
    <w:rsid w:val="00E83390"/>
    <w:rsid w:val="00E85A0E"/>
    <w:rsid w:val="00E94632"/>
    <w:rsid w:val="00E95935"/>
    <w:rsid w:val="00EA2ECC"/>
    <w:rsid w:val="00EB0607"/>
    <w:rsid w:val="00EB3C2D"/>
    <w:rsid w:val="00EB4C38"/>
    <w:rsid w:val="00EB693E"/>
    <w:rsid w:val="00EC17BF"/>
    <w:rsid w:val="00EC1E4D"/>
    <w:rsid w:val="00EC25C1"/>
    <w:rsid w:val="00EC33AE"/>
    <w:rsid w:val="00EC57C7"/>
    <w:rsid w:val="00EC6FF1"/>
    <w:rsid w:val="00EC725A"/>
    <w:rsid w:val="00EC7C42"/>
    <w:rsid w:val="00ED0992"/>
    <w:rsid w:val="00ED09AE"/>
    <w:rsid w:val="00EE1F97"/>
    <w:rsid w:val="00EE7CEB"/>
    <w:rsid w:val="00EF1DFB"/>
    <w:rsid w:val="00EF4454"/>
    <w:rsid w:val="00EF7C58"/>
    <w:rsid w:val="00F045C7"/>
    <w:rsid w:val="00F13AFD"/>
    <w:rsid w:val="00F23191"/>
    <w:rsid w:val="00F23430"/>
    <w:rsid w:val="00F25BB3"/>
    <w:rsid w:val="00F3007E"/>
    <w:rsid w:val="00F322DC"/>
    <w:rsid w:val="00F3239C"/>
    <w:rsid w:val="00F341C0"/>
    <w:rsid w:val="00F36256"/>
    <w:rsid w:val="00F36529"/>
    <w:rsid w:val="00F40F55"/>
    <w:rsid w:val="00F44181"/>
    <w:rsid w:val="00F453E2"/>
    <w:rsid w:val="00F46908"/>
    <w:rsid w:val="00F47F2F"/>
    <w:rsid w:val="00F5037C"/>
    <w:rsid w:val="00F50468"/>
    <w:rsid w:val="00F53D30"/>
    <w:rsid w:val="00F547A6"/>
    <w:rsid w:val="00F55A0B"/>
    <w:rsid w:val="00F55D13"/>
    <w:rsid w:val="00F60C1D"/>
    <w:rsid w:val="00F65B34"/>
    <w:rsid w:val="00F66E8D"/>
    <w:rsid w:val="00F71923"/>
    <w:rsid w:val="00F74BDA"/>
    <w:rsid w:val="00F82B1E"/>
    <w:rsid w:val="00F83279"/>
    <w:rsid w:val="00F879C8"/>
    <w:rsid w:val="00F95207"/>
    <w:rsid w:val="00FA1BC6"/>
    <w:rsid w:val="00FA3CEC"/>
    <w:rsid w:val="00FA6A28"/>
    <w:rsid w:val="00FA7286"/>
    <w:rsid w:val="00FB1827"/>
    <w:rsid w:val="00FB4FD2"/>
    <w:rsid w:val="00FB7D4A"/>
    <w:rsid w:val="00FC4DB7"/>
    <w:rsid w:val="00FC52B8"/>
    <w:rsid w:val="00FC5BE7"/>
    <w:rsid w:val="00FC5E84"/>
    <w:rsid w:val="00FD017A"/>
    <w:rsid w:val="00FD15CB"/>
    <w:rsid w:val="00FD3F97"/>
    <w:rsid w:val="00FD4189"/>
    <w:rsid w:val="00FD56CC"/>
    <w:rsid w:val="00FD66AA"/>
    <w:rsid w:val="00FE09B5"/>
    <w:rsid w:val="00FE49CC"/>
    <w:rsid w:val="00FE4FFE"/>
    <w:rsid w:val="00FE5CCD"/>
    <w:rsid w:val="00FF1872"/>
    <w:rsid w:val="00FF1CEF"/>
    <w:rsid w:val="00FF2519"/>
    <w:rsid w:val="00FF3C2E"/>
    <w:rsid w:val="00FF459E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83A6"/>
  <w15:chartTrackingRefBased/>
  <w15:docId w15:val="{CC4A3485-237C-4300-ACCB-731C14F8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7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7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7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7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B7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7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7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7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7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7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7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72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DB72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72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72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72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72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7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7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7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7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72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72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72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7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72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72AF"/>
    <w:rPr>
      <w:b/>
      <w:bCs/>
      <w:smallCaps/>
      <w:color w:val="0F4761" w:themeColor="accent1" w:themeShade="BF"/>
      <w:spacing w:val="5"/>
    </w:rPr>
  </w:style>
  <w:style w:type="paragraph" w:customStyle="1" w:styleId="pf0">
    <w:name w:val="pf0"/>
    <w:basedOn w:val="Normal"/>
    <w:rsid w:val="008C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cf01">
    <w:name w:val="cf01"/>
    <w:basedOn w:val="Policepardfaut"/>
    <w:rsid w:val="008C7166"/>
    <w:rPr>
      <w:rFonts w:ascii="Segoe UI" w:hAnsi="Segoe UI" w:cs="Segoe UI" w:hint="default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F50468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F50468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F50468"/>
    <w:rPr>
      <w:sz w:val="16"/>
      <w:szCs w:val="16"/>
    </w:rPr>
  </w:style>
  <w:style w:type="paragraph" w:styleId="Sansinterligne">
    <w:name w:val="No Spacing"/>
    <w:uiPriority w:val="1"/>
    <w:qFormat/>
    <w:rsid w:val="007F05E7"/>
    <w:pPr>
      <w:spacing w:after="0" w:line="240" w:lineRule="auto"/>
    </w:pPr>
  </w:style>
  <w:style w:type="character" w:customStyle="1" w:styleId="Aucun">
    <w:name w:val="Aucun"/>
    <w:rsid w:val="009C58D0"/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54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54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54F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E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E2CD1"/>
    <w:rPr>
      <w:b/>
      <w:bCs/>
    </w:rPr>
  </w:style>
  <w:style w:type="paragraph" w:customStyle="1" w:styleId="CorpsA">
    <w:name w:val="Corps A"/>
    <w:rsid w:val="000B4E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42e21-0980-4b78-a495-b69f5cacde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FEC054CC034F8EDB76F1A360ED82" ma:contentTypeVersion="13" ma:contentTypeDescription="Crée un document." ma:contentTypeScope="" ma:versionID="4d1f7843dafbaf7060fbb41923145e75">
  <xsd:schema xmlns:xsd="http://www.w3.org/2001/XMLSchema" xmlns:xs="http://www.w3.org/2001/XMLSchema" xmlns:p="http://schemas.microsoft.com/office/2006/metadata/properties" xmlns:ns3="11b42e21-0980-4b78-a495-b69f5cacdeea" targetNamespace="http://schemas.microsoft.com/office/2006/metadata/properties" ma:root="true" ma:fieldsID="88687c60a19a4cb56067ce16b3b1454c" ns3:_="">
    <xsd:import namespace="11b42e21-0980-4b78-a495-b69f5cacd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2e21-0980-4b78-a495-b69f5cacd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18856-F1EB-4BCE-996B-B6CB631919A1}">
  <ds:schemaRefs>
    <ds:schemaRef ds:uri="http://schemas.microsoft.com/office/2006/metadata/properties"/>
    <ds:schemaRef ds:uri="http://schemas.microsoft.com/office/infopath/2007/PartnerControls"/>
    <ds:schemaRef ds:uri="11b42e21-0980-4b78-a495-b69f5cacdeea"/>
  </ds:schemaRefs>
</ds:datastoreItem>
</file>

<file path=customXml/itemProps2.xml><?xml version="1.0" encoding="utf-8"?>
<ds:datastoreItem xmlns:ds="http://schemas.openxmlformats.org/officeDocument/2006/customXml" ds:itemID="{D60096B2-A4E3-4698-8002-4B5C0CFFD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0481F6-4FBB-457C-B1AF-34CC621F70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43785-D63D-47B7-946E-6DF9DCAE1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42e21-0980-4b78-a495-b69f5cacd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cazes</dc:creator>
  <cp:keywords/>
  <dc:description/>
  <cp:lastModifiedBy>Valérie Vanwormhoudt</cp:lastModifiedBy>
  <cp:revision>2</cp:revision>
  <dcterms:created xsi:type="dcterms:W3CDTF">2024-10-04T07:56:00Z</dcterms:created>
  <dcterms:modified xsi:type="dcterms:W3CDTF">2024-10-04T07:56:00Z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0x010100E73EFEC054CC034F8EDB76F1A360ED82</vt:lpwstr>
  </property>
</Properties>
</file>