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7C97" w14:textId="77777777" w:rsidR="003A5C08" w:rsidRPr="00AF4901" w:rsidRDefault="003A5C08" w:rsidP="003A5C08">
      <w:pPr>
        <w:jc w:val="both"/>
        <w:rPr>
          <w:rFonts w:ascii="Calibri" w:hAnsi="Calibri" w:cs="Calibri"/>
          <w:b/>
          <w:bCs/>
          <w:color w:val="000000" w:themeColor="text1"/>
        </w:rPr>
      </w:pPr>
      <w:bookmarkStart w:id="0" w:name="_Hlk173497959"/>
      <w:r w:rsidRPr="00AF4901">
        <w:rPr>
          <w:rFonts w:ascii="Calibri" w:hAnsi="Calibri" w:cs="Calibri"/>
          <w:b/>
          <w:bCs/>
          <w:color w:val="000000" w:themeColor="text1"/>
        </w:rPr>
        <w:t>Le système des Mesures comptables environnementales (MCE)</w:t>
      </w:r>
    </w:p>
    <w:bookmarkEnd w:id="0"/>
    <w:p w14:paraId="5F56B19E" w14:textId="77777777" w:rsidR="003A5C08" w:rsidRDefault="003A5C08" w:rsidP="003A5C08">
      <w:pPr>
        <w:jc w:val="both"/>
        <w:rPr>
          <w:rFonts w:ascii="Calibri" w:hAnsi="Calibri" w:cs="Calibri"/>
          <w:color w:val="000000" w:themeColor="text1"/>
        </w:rPr>
      </w:pPr>
    </w:p>
    <w:p w14:paraId="13F16654" w14:textId="52E374B2" w:rsidR="003A5C08" w:rsidRPr="00AF4901" w:rsidRDefault="003A5C08" w:rsidP="003A5C08">
      <w:pPr>
        <w:jc w:val="both"/>
        <w:rPr>
          <w:rFonts w:ascii="Calibri" w:hAnsi="Calibri" w:cs="Calibri"/>
          <w:color w:val="000000" w:themeColor="text1"/>
        </w:rPr>
      </w:pPr>
      <w:r w:rsidRPr="00AF4901">
        <w:rPr>
          <w:rFonts w:ascii="Calibri" w:hAnsi="Calibri" w:cs="Calibri"/>
          <w:color w:val="000000" w:themeColor="text1"/>
        </w:rPr>
        <w:t xml:space="preserve">Le projet environnemental </w:t>
      </w:r>
      <w:r>
        <w:rPr>
          <w:rFonts w:ascii="Calibri" w:hAnsi="Calibri" w:cs="Calibri"/>
          <w:color w:val="000000" w:themeColor="text1"/>
        </w:rPr>
        <w:t xml:space="preserve">le plus ambitieux de l’humanité </w:t>
      </w:r>
      <w:r w:rsidRPr="00AF4901">
        <w:rPr>
          <w:rFonts w:ascii="Calibri" w:hAnsi="Calibri" w:cs="Calibri"/>
          <w:color w:val="000000" w:themeColor="text1"/>
        </w:rPr>
        <w:t>est</w:t>
      </w:r>
      <w:r w:rsidR="001944A8">
        <w:rPr>
          <w:rFonts w:ascii="Calibri" w:hAnsi="Calibri" w:cs="Calibri"/>
          <w:color w:val="000000" w:themeColor="text1"/>
        </w:rPr>
        <w:t xml:space="preserve"> de réduire le stock de gaz à effet de serre dans l’atmosphère, en commençant par réduire l</w:t>
      </w:r>
      <w:r w:rsidRPr="00AF4901">
        <w:rPr>
          <w:rFonts w:ascii="Calibri" w:hAnsi="Calibri" w:cs="Calibri"/>
          <w:color w:val="000000" w:themeColor="text1"/>
        </w:rPr>
        <w:t xml:space="preserve">es </w:t>
      </w:r>
      <w:r w:rsidR="001944A8">
        <w:rPr>
          <w:rFonts w:ascii="Calibri" w:hAnsi="Calibri" w:cs="Calibri"/>
          <w:b/>
          <w:bCs/>
          <w:color w:val="000000" w:themeColor="text1"/>
        </w:rPr>
        <w:t>é</w:t>
      </w:r>
      <w:r w:rsidRPr="00AF4901">
        <w:rPr>
          <w:rFonts w:ascii="Calibri" w:hAnsi="Calibri" w:cs="Calibri"/>
          <w:b/>
          <w:bCs/>
          <w:color w:val="000000" w:themeColor="text1"/>
        </w:rPr>
        <w:t>missions totales nettes</w:t>
      </w:r>
      <w:r w:rsidRPr="00AF4901">
        <w:rPr>
          <w:rFonts w:ascii="Calibri" w:hAnsi="Calibri" w:cs="Calibri"/>
          <w:color w:val="000000" w:themeColor="text1"/>
        </w:rPr>
        <w:t xml:space="preserve"> </w:t>
      </w:r>
      <w:r w:rsidR="002B7653" w:rsidRPr="00AF4901">
        <w:rPr>
          <w:rFonts w:ascii="Calibri" w:hAnsi="Calibri" w:cs="Calibri"/>
          <w:color w:val="000000" w:themeColor="text1"/>
        </w:rPr>
        <w:t>vers l’atmosphère</w:t>
      </w:r>
      <w:r w:rsidR="002B7653" w:rsidRPr="00AF4901">
        <w:rPr>
          <w:rFonts w:ascii="Calibri" w:hAnsi="Calibri" w:cs="Calibri"/>
          <w:color w:val="000000" w:themeColor="text1"/>
        </w:rPr>
        <w:t xml:space="preserve"> </w:t>
      </w:r>
      <w:r w:rsidR="002B7653" w:rsidRPr="00AF4901">
        <w:rPr>
          <w:rFonts w:ascii="Calibri" w:hAnsi="Calibri" w:cs="Calibri"/>
          <w:color w:val="000000" w:themeColor="text1"/>
        </w:rPr>
        <w:t>(émissions et captures</w:t>
      </w:r>
      <w:r w:rsidR="002B7653">
        <w:rPr>
          <w:rFonts w:ascii="Calibri" w:hAnsi="Calibri" w:cs="Calibri"/>
          <w:color w:val="000000" w:themeColor="text1"/>
        </w:rPr>
        <w:t xml:space="preserve"> </w:t>
      </w:r>
      <w:r w:rsidRPr="00AF4901">
        <w:rPr>
          <w:rFonts w:ascii="Calibri" w:hAnsi="Calibri" w:cs="Calibri"/>
          <w:color w:val="000000" w:themeColor="text1"/>
        </w:rPr>
        <w:t>de gaz à effet de serre</w:t>
      </w:r>
      <w:r w:rsidR="002B7653">
        <w:rPr>
          <w:rFonts w:ascii="Calibri" w:hAnsi="Calibri" w:cs="Calibri"/>
          <w:color w:val="000000" w:themeColor="text1"/>
        </w:rPr>
        <w:t>)</w:t>
      </w:r>
      <w:r w:rsidRPr="00AF4901">
        <w:rPr>
          <w:rFonts w:ascii="Calibri" w:hAnsi="Calibri" w:cs="Calibri"/>
          <w:color w:val="000000" w:themeColor="text1"/>
        </w:rPr>
        <w:t xml:space="preserve">. La </w:t>
      </w:r>
      <w:r w:rsidR="002B7653">
        <w:rPr>
          <w:rFonts w:ascii="Calibri" w:hAnsi="Calibri" w:cs="Calibri"/>
          <w:color w:val="000000" w:themeColor="text1"/>
        </w:rPr>
        <w:t xml:space="preserve">réduction </w:t>
      </w:r>
      <w:r w:rsidR="001944A8">
        <w:rPr>
          <w:rFonts w:ascii="Calibri" w:hAnsi="Calibri" w:cs="Calibri"/>
          <w:color w:val="000000" w:themeColor="text1"/>
        </w:rPr>
        <w:t xml:space="preserve">annuelle est </w:t>
      </w:r>
      <w:r w:rsidRPr="00AF4901">
        <w:rPr>
          <w:rFonts w:ascii="Calibri" w:hAnsi="Calibri" w:cs="Calibri"/>
          <w:b/>
          <w:bCs/>
          <w:color w:val="000000" w:themeColor="text1"/>
        </w:rPr>
        <w:t xml:space="preserve">la </w:t>
      </w:r>
      <w:r w:rsidR="001944A8">
        <w:rPr>
          <w:rFonts w:ascii="Calibri" w:hAnsi="Calibri" w:cs="Calibri"/>
          <w:b/>
          <w:bCs/>
          <w:color w:val="000000" w:themeColor="text1"/>
        </w:rPr>
        <w:t>d</w:t>
      </w:r>
      <w:r w:rsidRPr="00AF4901">
        <w:rPr>
          <w:rFonts w:ascii="Calibri" w:hAnsi="Calibri" w:cs="Calibri"/>
          <w:b/>
          <w:bCs/>
          <w:color w:val="000000" w:themeColor="text1"/>
        </w:rPr>
        <w:t>écarbonation</w:t>
      </w:r>
      <w:r w:rsidRPr="00AF4901">
        <w:rPr>
          <w:rFonts w:ascii="Calibri" w:hAnsi="Calibri" w:cs="Calibri"/>
          <w:color w:val="000000" w:themeColor="text1"/>
        </w:rPr>
        <w:t xml:space="preserve">. Pour </w:t>
      </w:r>
      <w:r w:rsidR="001944A8">
        <w:rPr>
          <w:rFonts w:ascii="Calibri" w:hAnsi="Calibri" w:cs="Calibri"/>
          <w:color w:val="000000" w:themeColor="text1"/>
        </w:rPr>
        <w:t xml:space="preserve">décarboner </w:t>
      </w:r>
      <w:r w:rsidRPr="00AF4901">
        <w:rPr>
          <w:rFonts w:ascii="Calibri" w:hAnsi="Calibri" w:cs="Calibri"/>
          <w:color w:val="000000" w:themeColor="text1"/>
        </w:rPr>
        <w:t xml:space="preserve">au moindre coût, chaque décision doit donc être éclairée par </w:t>
      </w:r>
      <w:r w:rsidR="002B7653">
        <w:rPr>
          <w:rFonts w:ascii="Calibri" w:hAnsi="Calibri" w:cs="Calibri"/>
          <w:color w:val="000000" w:themeColor="text1"/>
        </w:rPr>
        <w:t xml:space="preserve">deux dimensions : </w:t>
      </w:r>
      <w:r w:rsidRPr="00AF4901">
        <w:rPr>
          <w:rFonts w:ascii="Calibri" w:hAnsi="Calibri" w:cs="Calibri"/>
          <w:color w:val="000000" w:themeColor="text1"/>
        </w:rPr>
        <w:t xml:space="preserve">ses contributions jumelles à l’évolution </w:t>
      </w:r>
      <w:proofErr w:type="gramStart"/>
      <w:r>
        <w:rPr>
          <w:rFonts w:ascii="Calibri" w:hAnsi="Calibri" w:cs="Calibri"/>
          <w:color w:val="000000" w:themeColor="text1"/>
        </w:rPr>
        <w:t>a</w:t>
      </w:r>
      <w:proofErr w:type="gramEnd"/>
      <w:r>
        <w:rPr>
          <w:rFonts w:ascii="Calibri" w:hAnsi="Calibri" w:cs="Calibri"/>
          <w:color w:val="000000" w:themeColor="text1"/>
        </w:rPr>
        <w:t xml:space="preserve">) </w:t>
      </w:r>
      <w:r w:rsidRPr="00AF4901">
        <w:rPr>
          <w:rFonts w:ascii="Calibri" w:hAnsi="Calibri" w:cs="Calibri"/>
          <w:color w:val="000000" w:themeColor="text1"/>
        </w:rPr>
        <w:t xml:space="preserve">des </w:t>
      </w:r>
      <w:r w:rsidR="001944A8">
        <w:rPr>
          <w:rFonts w:ascii="Calibri" w:hAnsi="Calibri" w:cs="Calibri"/>
          <w:color w:val="000000" w:themeColor="text1"/>
        </w:rPr>
        <w:t>é</w:t>
      </w:r>
      <w:r w:rsidRPr="00AF4901">
        <w:rPr>
          <w:rFonts w:ascii="Calibri" w:hAnsi="Calibri" w:cs="Calibri"/>
          <w:color w:val="000000" w:themeColor="text1"/>
        </w:rPr>
        <w:t>missions totales nettes et</w:t>
      </w:r>
      <w:r>
        <w:rPr>
          <w:rFonts w:ascii="Calibri" w:hAnsi="Calibri" w:cs="Calibri"/>
          <w:color w:val="000000" w:themeColor="text1"/>
        </w:rPr>
        <w:t xml:space="preserve"> b) </w:t>
      </w:r>
      <w:r w:rsidRPr="00AF4901">
        <w:rPr>
          <w:rFonts w:ascii="Calibri" w:hAnsi="Calibri" w:cs="Calibri"/>
          <w:color w:val="000000" w:themeColor="text1"/>
        </w:rPr>
        <w:t xml:space="preserve">des revenus (ou coûts) monétaires. </w:t>
      </w:r>
    </w:p>
    <w:p w14:paraId="2EEF6435" w14:textId="09562440" w:rsidR="003A5C08" w:rsidRPr="00AF4901" w:rsidRDefault="003A5C08" w:rsidP="003A5C08">
      <w:pPr>
        <w:jc w:val="both"/>
        <w:rPr>
          <w:rFonts w:ascii="Calibri" w:hAnsi="Calibri" w:cs="Calibri"/>
          <w:color w:val="000000" w:themeColor="text1"/>
        </w:rPr>
      </w:pPr>
      <w:r>
        <w:rPr>
          <w:rFonts w:ascii="Calibri" w:hAnsi="Calibri" w:cs="Calibri"/>
          <w:color w:val="000000" w:themeColor="text1"/>
        </w:rPr>
        <w:t>L</w:t>
      </w:r>
      <w:r w:rsidRPr="00AF4901">
        <w:rPr>
          <w:rFonts w:ascii="Calibri" w:hAnsi="Calibri" w:cs="Calibri"/>
          <w:color w:val="000000" w:themeColor="text1"/>
        </w:rPr>
        <w:t xml:space="preserve">es mesures comptables environnementales (MCE) </w:t>
      </w:r>
      <w:r>
        <w:rPr>
          <w:rFonts w:ascii="Calibri" w:hAnsi="Calibri" w:cs="Calibri"/>
          <w:color w:val="000000" w:themeColor="text1"/>
        </w:rPr>
        <w:t>donnent cet éclairage à deux dimensions des décisions, avec des contributions aux émissions</w:t>
      </w:r>
      <w:r w:rsidR="001944A8">
        <w:rPr>
          <w:rFonts w:ascii="Calibri" w:hAnsi="Calibri" w:cs="Calibri"/>
          <w:color w:val="000000" w:themeColor="text1"/>
        </w:rPr>
        <w:t xml:space="preserve"> qui sont</w:t>
      </w:r>
      <w:r>
        <w:rPr>
          <w:rFonts w:ascii="Calibri" w:hAnsi="Calibri" w:cs="Calibri"/>
          <w:color w:val="000000" w:themeColor="text1"/>
        </w:rPr>
        <w:t xml:space="preserve"> jumelles des contributions </w:t>
      </w:r>
      <w:r w:rsidRPr="00AF4901">
        <w:rPr>
          <w:rFonts w:ascii="Calibri" w:hAnsi="Calibri" w:cs="Calibri"/>
          <w:color w:val="000000" w:themeColor="text1"/>
        </w:rPr>
        <w:t>monétaire</w:t>
      </w:r>
      <w:r>
        <w:rPr>
          <w:rFonts w:ascii="Calibri" w:hAnsi="Calibri" w:cs="Calibri"/>
          <w:color w:val="000000" w:themeColor="text1"/>
        </w:rPr>
        <w:t>s</w:t>
      </w:r>
      <w:r w:rsidRPr="00AF4901">
        <w:rPr>
          <w:rFonts w:ascii="Calibri" w:hAnsi="Calibri" w:cs="Calibri"/>
          <w:color w:val="000000" w:themeColor="text1"/>
        </w:rPr>
        <w:t xml:space="preserve">. </w:t>
      </w:r>
    </w:p>
    <w:p w14:paraId="62D289BB" w14:textId="77777777" w:rsidR="002B7653" w:rsidRDefault="002B7653" w:rsidP="002B7653">
      <w:pPr>
        <w:pStyle w:val="Paragraphedeliste"/>
        <w:numPr>
          <w:ilvl w:val="0"/>
          <w:numId w:val="13"/>
        </w:numPr>
        <w:jc w:val="both"/>
        <w:rPr>
          <w:rFonts w:ascii="Calibri" w:hAnsi="Calibri" w:cs="Calibri"/>
          <w:color w:val="000000" w:themeColor="text1"/>
        </w:rPr>
      </w:pPr>
      <w:r w:rsidRPr="00AF4901">
        <w:rPr>
          <w:rFonts w:ascii="Calibri" w:hAnsi="Calibri" w:cs="Calibri"/>
          <w:color w:val="000000" w:themeColor="text1"/>
        </w:rPr>
        <w:t>La</w:t>
      </w:r>
      <w:r>
        <w:rPr>
          <w:rFonts w:ascii="Calibri" w:hAnsi="Calibri" w:cs="Calibri"/>
          <w:color w:val="000000" w:themeColor="text1"/>
        </w:rPr>
        <w:t xml:space="preserve"> mesure</w:t>
      </w:r>
      <w:r w:rsidRPr="00AF4901">
        <w:rPr>
          <w:rFonts w:ascii="Calibri" w:hAnsi="Calibri" w:cs="Calibri"/>
          <w:color w:val="000000" w:themeColor="text1"/>
        </w:rPr>
        <w:t xml:space="preserve"> jumelle de la croissance du PIB est </w:t>
      </w:r>
      <w:r w:rsidRPr="00AF4901">
        <w:rPr>
          <w:rFonts w:ascii="Calibri" w:hAnsi="Calibri" w:cs="Calibri"/>
          <w:b/>
          <w:bCs/>
          <w:color w:val="000000" w:themeColor="text1"/>
        </w:rPr>
        <w:t xml:space="preserve">la </w:t>
      </w:r>
      <w:r>
        <w:rPr>
          <w:rFonts w:ascii="Calibri" w:hAnsi="Calibri" w:cs="Calibri"/>
          <w:b/>
          <w:bCs/>
          <w:color w:val="000000" w:themeColor="text1"/>
        </w:rPr>
        <w:t>d</w:t>
      </w:r>
      <w:r w:rsidRPr="00AF4901">
        <w:rPr>
          <w:rFonts w:ascii="Calibri" w:hAnsi="Calibri" w:cs="Calibri"/>
          <w:b/>
          <w:bCs/>
          <w:color w:val="000000" w:themeColor="text1"/>
        </w:rPr>
        <w:t>écarbonation du pays</w:t>
      </w:r>
      <w:r w:rsidRPr="00AF4901">
        <w:rPr>
          <w:rFonts w:ascii="Calibri" w:hAnsi="Calibri" w:cs="Calibri"/>
          <w:color w:val="000000" w:themeColor="text1"/>
        </w:rPr>
        <w:t xml:space="preserve"> : la contribution des acteurs du pays à la </w:t>
      </w:r>
      <w:r>
        <w:rPr>
          <w:rFonts w:ascii="Calibri" w:hAnsi="Calibri" w:cs="Calibri"/>
          <w:color w:val="000000" w:themeColor="text1"/>
        </w:rPr>
        <w:t>d</w:t>
      </w:r>
      <w:r w:rsidRPr="00AF4901">
        <w:rPr>
          <w:rFonts w:ascii="Calibri" w:hAnsi="Calibri" w:cs="Calibri"/>
          <w:color w:val="000000" w:themeColor="text1"/>
        </w:rPr>
        <w:t>écarbonation totale</w:t>
      </w:r>
      <w:r>
        <w:rPr>
          <w:rFonts w:ascii="Calibri" w:hAnsi="Calibri" w:cs="Calibri"/>
          <w:color w:val="000000" w:themeColor="text1"/>
        </w:rPr>
        <w:t xml:space="preserve"> sans doubles-comptes entre pays</w:t>
      </w:r>
      <w:r w:rsidRPr="00AF4901">
        <w:rPr>
          <w:rFonts w:ascii="Calibri" w:hAnsi="Calibri" w:cs="Calibri"/>
          <w:color w:val="000000" w:themeColor="text1"/>
        </w:rPr>
        <w:t>.</w:t>
      </w:r>
    </w:p>
    <w:p w14:paraId="30E407DE" w14:textId="6E1A3B1D" w:rsidR="003A5C08" w:rsidRPr="00AF4901" w:rsidRDefault="003A5C08" w:rsidP="003A5C08">
      <w:pPr>
        <w:pStyle w:val="Paragraphedeliste"/>
        <w:numPr>
          <w:ilvl w:val="0"/>
          <w:numId w:val="13"/>
        </w:numPr>
        <w:jc w:val="both"/>
        <w:rPr>
          <w:rFonts w:ascii="Calibri" w:hAnsi="Calibri" w:cs="Calibri"/>
          <w:color w:val="000000" w:themeColor="text1"/>
        </w:rPr>
      </w:pPr>
      <w:r w:rsidRPr="00AF4901">
        <w:rPr>
          <w:rFonts w:ascii="Calibri" w:hAnsi="Calibri" w:cs="Calibri"/>
          <w:color w:val="000000" w:themeColor="text1"/>
        </w:rPr>
        <w:t>La</w:t>
      </w:r>
      <w:r w:rsidR="001944A8">
        <w:rPr>
          <w:rFonts w:ascii="Calibri" w:hAnsi="Calibri" w:cs="Calibri"/>
          <w:color w:val="000000" w:themeColor="text1"/>
        </w:rPr>
        <w:t xml:space="preserve"> mesure</w:t>
      </w:r>
      <w:r w:rsidRPr="00AF4901">
        <w:rPr>
          <w:rFonts w:ascii="Calibri" w:hAnsi="Calibri" w:cs="Calibri"/>
          <w:color w:val="000000" w:themeColor="text1"/>
        </w:rPr>
        <w:t xml:space="preserve"> jumelle du prix est </w:t>
      </w:r>
      <w:r w:rsidRPr="00AF4901">
        <w:rPr>
          <w:rFonts w:ascii="Calibri" w:hAnsi="Calibri" w:cs="Calibri"/>
          <w:b/>
          <w:bCs/>
          <w:color w:val="000000" w:themeColor="text1"/>
        </w:rPr>
        <w:t>l’</w:t>
      </w:r>
      <w:r w:rsidR="001944A8">
        <w:rPr>
          <w:rFonts w:ascii="Calibri" w:hAnsi="Calibri" w:cs="Calibri"/>
          <w:b/>
          <w:bCs/>
          <w:color w:val="000000" w:themeColor="text1"/>
        </w:rPr>
        <w:t>é</w:t>
      </w:r>
      <w:r w:rsidRPr="00AF4901">
        <w:rPr>
          <w:rFonts w:ascii="Calibri" w:hAnsi="Calibri" w:cs="Calibri"/>
          <w:b/>
          <w:bCs/>
          <w:color w:val="000000" w:themeColor="text1"/>
        </w:rPr>
        <w:t>mission du produit</w:t>
      </w:r>
      <w:r w:rsidRPr="00AF4901">
        <w:rPr>
          <w:rFonts w:ascii="Calibri" w:hAnsi="Calibri" w:cs="Calibri"/>
          <w:color w:val="000000" w:themeColor="text1"/>
        </w:rPr>
        <w:t xml:space="preserve"> : les émissions nettes entrainées par sa production, </w:t>
      </w:r>
      <w:r>
        <w:rPr>
          <w:rFonts w:ascii="Calibri" w:hAnsi="Calibri" w:cs="Calibri"/>
          <w:color w:val="000000" w:themeColor="text1"/>
        </w:rPr>
        <w:t>sans en omettre et sans doubles-comptes en fin de chaine de facturation</w:t>
      </w:r>
      <w:r w:rsidRPr="00AF4901">
        <w:rPr>
          <w:rFonts w:ascii="Calibri" w:hAnsi="Calibri" w:cs="Calibri"/>
          <w:color w:val="000000" w:themeColor="text1"/>
        </w:rPr>
        <w:t xml:space="preserve">. </w:t>
      </w:r>
    </w:p>
    <w:p w14:paraId="4589749D" w14:textId="13C2469C" w:rsidR="003A5C08" w:rsidRPr="00AF4901" w:rsidRDefault="003A5C08" w:rsidP="003A5C08">
      <w:pPr>
        <w:pStyle w:val="Paragraphedeliste"/>
        <w:numPr>
          <w:ilvl w:val="0"/>
          <w:numId w:val="13"/>
        </w:numPr>
        <w:jc w:val="both"/>
        <w:rPr>
          <w:rFonts w:ascii="Calibri" w:hAnsi="Calibri" w:cs="Calibri"/>
          <w:color w:val="000000" w:themeColor="text1"/>
        </w:rPr>
      </w:pPr>
      <w:r>
        <w:rPr>
          <w:rFonts w:ascii="Calibri" w:hAnsi="Calibri" w:cs="Calibri"/>
          <w:color w:val="000000" w:themeColor="text1"/>
        </w:rPr>
        <w:t>La</w:t>
      </w:r>
      <w:r w:rsidR="001944A8">
        <w:rPr>
          <w:rFonts w:ascii="Calibri" w:hAnsi="Calibri" w:cs="Calibri"/>
          <w:color w:val="000000" w:themeColor="text1"/>
        </w:rPr>
        <w:t xml:space="preserve"> mesure</w:t>
      </w:r>
      <w:r>
        <w:rPr>
          <w:rFonts w:ascii="Calibri" w:hAnsi="Calibri" w:cs="Calibri"/>
          <w:color w:val="000000" w:themeColor="text1"/>
        </w:rPr>
        <w:t xml:space="preserve"> jumelle du résultat d’un acteur est </w:t>
      </w:r>
      <w:r w:rsidR="002B7653">
        <w:rPr>
          <w:rFonts w:ascii="Calibri" w:hAnsi="Calibri" w:cs="Calibri"/>
          <w:b/>
          <w:bCs/>
          <w:color w:val="000000" w:themeColor="text1"/>
        </w:rPr>
        <w:t>s</w:t>
      </w:r>
      <w:r w:rsidRPr="00783DB8">
        <w:rPr>
          <w:rFonts w:ascii="Calibri" w:hAnsi="Calibri" w:cs="Calibri"/>
          <w:b/>
          <w:bCs/>
          <w:color w:val="000000" w:themeColor="text1"/>
        </w:rPr>
        <w:t xml:space="preserve">a </w:t>
      </w:r>
      <w:r w:rsidR="001944A8">
        <w:rPr>
          <w:rFonts w:ascii="Calibri" w:hAnsi="Calibri" w:cs="Calibri"/>
          <w:b/>
          <w:bCs/>
          <w:color w:val="000000" w:themeColor="text1"/>
        </w:rPr>
        <w:t>d</w:t>
      </w:r>
      <w:r w:rsidRPr="00783DB8">
        <w:rPr>
          <w:rFonts w:ascii="Calibri" w:hAnsi="Calibri" w:cs="Calibri"/>
          <w:b/>
          <w:bCs/>
          <w:color w:val="000000" w:themeColor="text1"/>
        </w:rPr>
        <w:t xml:space="preserve">écarbonation </w:t>
      </w:r>
      <w:r w:rsidRPr="002E7A00">
        <w:rPr>
          <w:rFonts w:ascii="Calibri" w:hAnsi="Calibri" w:cs="Calibri"/>
          <w:color w:val="000000" w:themeColor="text1"/>
        </w:rPr>
        <w:t>sans doubles comptes entre acteurs</w:t>
      </w:r>
      <w:r w:rsidRPr="00AF4901">
        <w:rPr>
          <w:rFonts w:ascii="Calibri" w:hAnsi="Calibri" w:cs="Calibri"/>
          <w:color w:val="000000" w:themeColor="text1"/>
        </w:rPr>
        <w:t>.</w:t>
      </w:r>
    </w:p>
    <w:p w14:paraId="454B7836" w14:textId="6BCA0679" w:rsidR="003A5C08" w:rsidRPr="00AF4901" w:rsidRDefault="003A5C08" w:rsidP="003A5C08">
      <w:pPr>
        <w:pStyle w:val="Paragraphedeliste"/>
        <w:numPr>
          <w:ilvl w:val="0"/>
          <w:numId w:val="13"/>
        </w:numPr>
        <w:jc w:val="both"/>
        <w:rPr>
          <w:rFonts w:ascii="Calibri" w:hAnsi="Calibri" w:cs="Calibri"/>
          <w:color w:val="000000" w:themeColor="text1"/>
        </w:rPr>
      </w:pPr>
      <w:r w:rsidRPr="00AF4901">
        <w:rPr>
          <w:rFonts w:ascii="Calibri" w:hAnsi="Calibri" w:cs="Calibri"/>
          <w:color w:val="000000" w:themeColor="text1"/>
        </w:rPr>
        <w:t xml:space="preserve">La </w:t>
      </w:r>
      <w:r w:rsidR="001944A8">
        <w:rPr>
          <w:rFonts w:ascii="Calibri" w:hAnsi="Calibri" w:cs="Calibri"/>
          <w:color w:val="000000" w:themeColor="text1"/>
        </w:rPr>
        <w:t>mesure</w:t>
      </w:r>
      <w:r w:rsidRPr="00AF4901">
        <w:rPr>
          <w:rFonts w:ascii="Calibri" w:hAnsi="Calibri" w:cs="Calibri"/>
          <w:color w:val="000000" w:themeColor="text1"/>
        </w:rPr>
        <w:t xml:space="preserve"> jumelle du résultat d’un financement est </w:t>
      </w:r>
      <w:r w:rsidRPr="00AF4901">
        <w:rPr>
          <w:rFonts w:ascii="Calibri" w:hAnsi="Calibri" w:cs="Calibri"/>
          <w:b/>
          <w:bCs/>
          <w:color w:val="000000" w:themeColor="text1"/>
        </w:rPr>
        <w:t xml:space="preserve">sa </w:t>
      </w:r>
      <w:r w:rsidR="001944A8">
        <w:rPr>
          <w:rFonts w:ascii="Calibri" w:hAnsi="Calibri" w:cs="Calibri"/>
          <w:b/>
          <w:bCs/>
          <w:color w:val="000000" w:themeColor="text1"/>
        </w:rPr>
        <w:t>d</w:t>
      </w:r>
      <w:r w:rsidRPr="00AF4901">
        <w:rPr>
          <w:rFonts w:ascii="Calibri" w:hAnsi="Calibri" w:cs="Calibri"/>
          <w:b/>
          <w:bCs/>
          <w:color w:val="000000" w:themeColor="text1"/>
        </w:rPr>
        <w:t>écarbonation financière</w:t>
      </w:r>
      <w:r w:rsidRPr="00AF4901">
        <w:rPr>
          <w:rFonts w:ascii="Calibri" w:hAnsi="Calibri" w:cs="Calibri"/>
          <w:color w:val="000000" w:themeColor="text1"/>
        </w:rPr>
        <w:t xml:space="preserve"> : </w:t>
      </w:r>
      <w:r>
        <w:rPr>
          <w:rFonts w:ascii="Calibri" w:hAnsi="Calibri" w:cs="Calibri"/>
          <w:color w:val="000000" w:themeColor="text1"/>
        </w:rPr>
        <w:t xml:space="preserve">une </w:t>
      </w:r>
      <w:r w:rsidRPr="00AF4901">
        <w:rPr>
          <w:rFonts w:ascii="Calibri" w:hAnsi="Calibri" w:cs="Calibri"/>
          <w:color w:val="000000" w:themeColor="text1"/>
        </w:rPr>
        <w:t xml:space="preserve">quote-part de la </w:t>
      </w:r>
      <w:r w:rsidR="001944A8">
        <w:rPr>
          <w:rFonts w:ascii="Calibri" w:hAnsi="Calibri" w:cs="Calibri"/>
          <w:color w:val="000000" w:themeColor="text1"/>
        </w:rPr>
        <w:t>d</w:t>
      </w:r>
      <w:r w:rsidRPr="00AF4901">
        <w:rPr>
          <w:rFonts w:ascii="Calibri" w:hAnsi="Calibri" w:cs="Calibri"/>
          <w:color w:val="000000" w:themeColor="text1"/>
        </w:rPr>
        <w:t>écarbonation des acteurs bénéficiant du financement</w:t>
      </w:r>
      <w:r>
        <w:rPr>
          <w:rFonts w:ascii="Calibri" w:hAnsi="Calibri" w:cs="Calibri"/>
          <w:color w:val="000000" w:themeColor="text1"/>
        </w:rPr>
        <w:t>,</w:t>
      </w:r>
      <w:r w:rsidRPr="00AF4901">
        <w:rPr>
          <w:rFonts w:ascii="Calibri" w:hAnsi="Calibri" w:cs="Calibri"/>
          <w:color w:val="000000" w:themeColor="text1"/>
        </w:rPr>
        <w:t xml:space="preserve"> sans doubles comptes.</w:t>
      </w:r>
    </w:p>
    <w:p w14:paraId="6CF4AC68" w14:textId="52222840" w:rsidR="008154AE" w:rsidRPr="00AF4901" w:rsidRDefault="002B7653" w:rsidP="002B7653">
      <w:pPr>
        <w:jc w:val="both"/>
        <w:rPr>
          <w:rFonts w:ascii="Calibri" w:hAnsi="Calibri" w:cs="Calibri"/>
          <w:color w:val="000000" w:themeColor="text1"/>
        </w:rPr>
      </w:pPr>
      <w:r w:rsidRPr="002B7653">
        <w:rPr>
          <w:rFonts w:ascii="Calibri" w:hAnsi="Calibri" w:cs="Calibri"/>
          <w:color w:val="000000" w:themeColor="text1"/>
        </w:rPr>
        <w:t>L’Emission du produit est le socle de la Décarbonation de l’acteur qui est le socle de la Décarbonation financière de son financement. Les comptes nationaux en émissions, jumeaux des comptes nationaux monétaires, alimentent ces mesures et sont alimentés par elle</w:t>
      </w:r>
      <w:r w:rsidR="001944A8">
        <w:rPr>
          <w:noProof/>
        </w:rPr>
        <w:drawing>
          <wp:inline distT="0" distB="0" distL="0" distR="0" wp14:anchorId="7FE98AA9" wp14:editId="609A3EB6">
            <wp:extent cx="5760720" cy="3240405"/>
            <wp:effectExtent l="0" t="0" r="0" b="0"/>
            <wp:docPr id="1766442610"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42610"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60720" cy="3240405"/>
                    </a:xfrm>
                    <a:prstGeom prst="rect">
                      <a:avLst/>
                    </a:prstGeom>
                  </pic:spPr>
                </pic:pic>
              </a:graphicData>
            </a:graphic>
          </wp:inline>
        </w:drawing>
      </w:r>
    </w:p>
    <w:p w14:paraId="19D42532" w14:textId="77777777" w:rsidR="002B7653" w:rsidRDefault="002B7653" w:rsidP="002B7653">
      <w:pPr>
        <w:jc w:val="both"/>
        <w:rPr>
          <w:rFonts w:ascii="Calibri" w:hAnsi="Calibri" w:cs="Calibri"/>
          <w:color w:val="000000" w:themeColor="text1"/>
        </w:rPr>
      </w:pPr>
      <w:r w:rsidRPr="00AF4901">
        <w:rPr>
          <w:rFonts w:ascii="Calibri" w:hAnsi="Calibri" w:cs="Calibri"/>
          <w:color w:val="000000" w:themeColor="text1"/>
        </w:rPr>
        <w:lastRenderedPageBreak/>
        <w:t xml:space="preserve">Les MCE s’appuient sur les mesures scientifiques des émissions de GES et sur les règles comptables de l’entité qui comptabilise. L’approche comptable (tout compter une seule fois) assure des mesures comparables et vérifiables. </w:t>
      </w:r>
    </w:p>
    <w:p w14:paraId="2114F625" w14:textId="3496385A" w:rsidR="00AE7549" w:rsidRPr="00AF4901" w:rsidRDefault="00AE7549" w:rsidP="000D338A">
      <w:pPr>
        <w:pStyle w:val="pf0"/>
        <w:spacing w:before="0" w:beforeAutospacing="0" w:after="0" w:afterAutospacing="0"/>
        <w:jc w:val="both"/>
        <w:rPr>
          <w:rFonts w:ascii="Calibri" w:eastAsiaTheme="majorEastAsia" w:hAnsi="Calibri" w:cs="Calibri"/>
          <w:color w:val="000000" w:themeColor="text1"/>
        </w:rPr>
      </w:pPr>
    </w:p>
    <w:p w14:paraId="252B669F" w14:textId="69FF8381" w:rsidR="004E18BB" w:rsidRPr="00AF4901" w:rsidRDefault="002B7653" w:rsidP="006E2CD1">
      <w:pPr>
        <w:jc w:val="both"/>
        <w:rPr>
          <w:rFonts w:ascii="Calibri" w:hAnsi="Calibri" w:cs="Calibri"/>
          <w:b/>
          <w:bCs/>
          <w:color w:val="000000" w:themeColor="text1"/>
        </w:rPr>
      </w:pPr>
      <w:r>
        <w:rPr>
          <w:rFonts w:ascii="Calibri" w:hAnsi="Calibri" w:cs="Calibri"/>
          <w:b/>
          <w:bCs/>
          <w:color w:val="000000" w:themeColor="text1"/>
        </w:rPr>
        <w:t>Règles</w:t>
      </w:r>
      <w:r w:rsidR="002C1FC2" w:rsidRPr="00AF4901">
        <w:rPr>
          <w:rFonts w:ascii="Calibri" w:hAnsi="Calibri" w:cs="Calibri"/>
          <w:b/>
          <w:bCs/>
          <w:color w:val="000000" w:themeColor="text1"/>
        </w:rPr>
        <w:t xml:space="preserve"> pour c</w:t>
      </w:r>
      <w:r w:rsidR="00B030AF" w:rsidRPr="00AF4901">
        <w:rPr>
          <w:rFonts w:ascii="Calibri" w:hAnsi="Calibri" w:cs="Calibri"/>
          <w:b/>
          <w:bCs/>
          <w:color w:val="000000" w:themeColor="text1"/>
        </w:rPr>
        <w:t>o</w:t>
      </w:r>
      <w:r w:rsidR="00FF3C2E">
        <w:rPr>
          <w:rFonts w:ascii="Calibri" w:hAnsi="Calibri" w:cs="Calibri"/>
          <w:b/>
          <w:bCs/>
          <w:color w:val="000000" w:themeColor="text1"/>
        </w:rPr>
        <w:t>mp</w:t>
      </w:r>
      <w:r w:rsidR="00B030AF" w:rsidRPr="00AF4901">
        <w:rPr>
          <w:rFonts w:ascii="Calibri" w:hAnsi="Calibri" w:cs="Calibri"/>
          <w:b/>
          <w:bCs/>
          <w:color w:val="000000" w:themeColor="text1"/>
        </w:rPr>
        <w:t>tabilis</w:t>
      </w:r>
      <w:r w:rsidR="00FF3C2E">
        <w:rPr>
          <w:rFonts w:ascii="Calibri" w:hAnsi="Calibri" w:cs="Calibri"/>
          <w:b/>
          <w:bCs/>
          <w:color w:val="000000" w:themeColor="text1"/>
        </w:rPr>
        <w:t>er</w:t>
      </w:r>
      <w:r w:rsidR="00B030AF" w:rsidRPr="00AF4901">
        <w:rPr>
          <w:rFonts w:ascii="Calibri" w:hAnsi="Calibri" w:cs="Calibri"/>
          <w:b/>
          <w:bCs/>
          <w:color w:val="000000" w:themeColor="text1"/>
        </w:rPr>
        <w:t>, transm</w:t>
      </w:r>
      <w:r w:rsidR="00FF3C2E">
        <w:rPr>
          <w:rFonts w:ascii="Calibri" w:hAnsi="Calibri" w:cs="Calibri"/>
          <w:b/>
          <w:bCs/>
          <w:color w:val="000000" w:themeColor="text1"/>
        </w:rPr>
        <w:t>ettre</w:t>
      </w:r>
      <w:r w:rsidR="00B030AF" w:rsidRPr="00AF4901">
        <w:rPr>
          <w:rFonts w:ascii="Calibri" w:hAnsi="Calibri" w:cs="Calibri"/>
          <w:b/>
          <w:bCs/>
          <w:color w:val="000000" w:themeColor="text1"/>
        </w:rPr>
        <w:t xml:space="preserve"> et vérif</w:t>
      </w:r>
      <w:r w:rsidR="00FF3C2E">
        <w:rPr>
          <w:rFonts w:ascii="Calibri" w:hAnsi="Calibri" w:cs="Calibri"/>
          <w:b/>
          <w:bCs/>
          <w:color w:val="000000" w:themeColor="text1"/>
        </w:rPr>
        <w:t>ier</w:t>
      </w:r>
      <w:r w:rsidR="00B030AF" w:rsidRPr="00AF4901">
        <w:rPr>
          <w:rFonts w:ascii="Calibri" w:hAnsi="Calibri" w:cs="Calibri"/>
          <w:b/>
          <w:bCs/>
          <w:color w:val="000000" w:themeColor="text1"/>
        </w:rPr>
        <w:t xml:space="preserve"> </w:t>
      </w:r>
      <w:r w:rsidR="00FF3C2E">
        <w:rPr>
          <w:rFonts w:ascii="Calibri" w:hAnsi="Calibri" w:cs="Calibri"/>
          <w:b/>
          <w:bCs/>
          <w:color w:val="000000" w:themeColor="text1"/>
        </w:rPr>
        <w:t>l</w:t>
      </w:r>
      <w:r w:rsidR="00B030AF" w:rsidRPr="00AF4901">
        <w:rPr>
          <w:rFonts w:ascii="Calibri" w:hAnsi="Calibri" w:cs="Calibri"/>
          <w:b/>
          <w:bCs/>
          <w:color w:val="000000" w:themeColor="text1"/>
        </w:rPr>
        <w:t>es émissions d</w:t>
      </w:r>
      <w:r w:rsidR="002C1FC2" w:rsidRPr="00AF4901">
        <w:rPr>
          <w:rFonts w:ascii="Calibri" w:hAnsi="Calibri" w:cs="Calibri"/>
          <w:b/>
          <w:bCs/>
          <w:color w:val="000000" w:themeColor="text1"/>
        </w:rPr>
        <w:t>es</w:t>
      </w:r>
      <w:r w:rsidR="00B030AF" w:rsidRPr="00AF4901">
        <w:rPr>
          <w:rFonts w:ascii="Calibri" w:hAnsi="Calibri" w:cs="Calibri"/>
          <w:b/>
          <w:bCs/>
          <w:color w:val="000000" w:themeColor="text1"/>
        </w:rPr>
        <w:t xml:space="preserve"> produit</w:t>
      </w:r>
      <w:r w:rsidR="002C1FC2" w:rsidRPr="00AF4901">
        <w:rPr>
          <w:rFonts w:ascii="Calibri" w:hAnsi="Calibri" w:cs="Calibri"/>
          <w:b/>
          <w:bCs/>
          <w:color w:val="000000" w:themeColor="text1"/>
        </w:rPr>
        <w:t>s</w:t>
      </w:r>
      <w:bookmarkStart w:id="1" w:name="_Hlk173497933"/>
    </w:p>
    <w:bookmarkEnd w:id="1"/>
    <w:p w14:paraId="5DEC6210" w14:textId="11FD4021" w:rsidR="00556EE7" w:rsidRDefault="00556EE7" w:rsidP="008631E7">
      <w:pPr>
        <w:pStyle w:val="NormalWeb"/>
        <w:numPr>
          <w:ilvl w:val="0"/>
          <w:numId w:val="9"/>
        </w:numPr>
        <w:spacing w:before="0" w:beforeAutospacing="0"/>
        <w:jc w:val="both"/>
        <w:rPr>
          <w:rStyle w:val="lev"/>
          <w:rFonts w:ascii="Calibri" w:eastAsiaTheme="majorEastAsia" w:hAnsi="Calibri" w:cs="Calibri"/>
          <w:b w:val="0"/>
          <w:bCs w:val="0"/>
          <w:color w:val="000000" w:themeColor="text1"/>
        </w:rPr>
      </w:pPr>
      <w:r>
        <w:rPr>
          <w:rStyle w:val="lev"/>
          <w:rFonts w:ascii="Calibri" w:eastAsiaTheme="majorEastAsia" w:hAnsi="Calibri" w:cs="Calibri"/>
          <w:b w:val="0"/>
          <w:bCs w:val="0"/>
          <w:color w:val="000000" w:themeColor="text1"/>
        </w:rPr>
        <w:t>L’émission</w:t>
      </w:r>
      <w:r w:rsidR="009001AD">
        <w:rPr>
          <w:rFonts w:ascii="Calibri" w:eastAsiaTheme="majorEastAsia" w:hAnsi="Calibri" w:cs="Calibri"/>
          <w:color w:val="000000" w:themeColor="text1"/>
        </w:rPr>
        <w:t xml:space="preserve"> </w:t>
      </w:r>
      <w:r>
        <w:rPr>
          <w:rStyle w:val="lev"/>
          <w:rFonts w:ascii="Calibri" w:eastAsiaTheme="majorEastAsia" w:hAnsi="Calibri" w:cs="Calibri"/>
          <w:b w:val="0"/>
          <w:bCs w:val="0"/>
          <w:color w:val="000000" w:themeColor="text1"/>
        </w:rPr>
        <w:t>d’un produit comptabilise les émissions</w:t>
      </w:r>
      <w:r w:rsidR="009001AD">
        <w:rPr>
          <w:rStyle w:val="Appelnotedebasdep"/>
          <w:rFonts w:ascii="Calibri" w:eastAsiaTheme="majorEastAsia" w:hAnsi="Calibri" w:cs="Calibri"/>
          <w:color w:val="000000" w:themeColor="text1"/>
        </w:rPr>
        <w:footnoteReference w:id="1"/>
      </w:r>
      <w:r w:rsidR="009001AD">
        <w:rPr>
          <w:rStyle w:val="lev"/>
          <w:rFonts w:ascii="Calibri" w:eastAsiaTheme="majorEastAsia" w:hAnsi="Calibri" w:cs="Calibri"/>
          <w:b w:val="0"/>
          <w:bCs w:val="0"/>
          <w:color w:val="000000" w:themeColor="text1"/>
        </w:rPr>
        <w:t xml:space="preserve"> </w:t>
      </w:r>
      <w:r>
        <w:rPr>
          <w:rStyle w:val="lev"/>
          <w:rFonts w:ascii="Calibri" w:eastAsiaTheme="majorEastAsia" w:hAnsi="Calibri" w:cs="Calibri"/>
          <w:b w:val="0"/>
          <w:bCs w:val="0"/>
          <w:color w:val="000000" w:themeColor="text1"/>
        </w:rPr>
        <w:t>nécessaires à sa production</w:t>
      </w:r>
      <w:r w:rsidR="00FF3C2E">
        <w:rPr>
          <w:rStyle w:val="lev"/>
          <w:rFonts w:ascii="Calibri" w:eastAsiaTheme="majorEastAsia" w:hAnsi="Calibri" w:cs="Calibri"/>
          <w:b w:val="0"/>
          <w:bCs w:val="0"/>
          <w:color w:val="000000" w:themeColor="text1"/>
        </w:rPr>
        <w:t>,</w:t>
      </w:r>
      <w:r>
        <w:rPr>
          <w:rStyle w:val="lev"/>
          <w:rFonts w:ascii="Calibri" w:eastAsiaTheme="majorEastAsia" w:hAnsi="Calibri" w:cs="Calibri"/>
          <w:b w:val="0"/>
          <w:bCs w:val="0"/>
          <w:color w:val="000000" w:themeColor="text1"/>
        </w:rPr>
        <w:t xml:space="preserve"> cumulées comme ses coûts le long des chaines de facturation.</w:t>
      </w:r>
    </w:p>
    <w:p w14:paraId="08EFD101" w14:textId="666C8F22" w:rsidR="00556EE7" w:rsidRDefault="006E2CD1" w:rsidP="008631E7">
      <w:pPr>
        <w:pStyle w:val="NormalWeb"/>
        <w:numPr>
          <w:ilvl w:val="0"/>
          <w:numId w:val="9"/>
        </w:numPr>
        <w:spacing w:before="0" w:beforeAutospacing="0"/>
        <w:jc w:val="both"/>
        <w:rPr>
          <w:rStyle w:val="lev"/>
          <w:rFonts w:ascii="Calibri" w:eastAsiaTheme="majorEastAsia" w:hAnsi="Calibri" w:cs="Calibri"/>
          <w:b w:val="0"/>
          <w:bCs w:val="0"/>
          <w:color w:val="000000" w:themeColor="text1"/>
        </w:rPr>
      </w:pPr>
      <w:r w:rsidRPr="00AF4901">
        <w:rPr>
          <w:rStyle w:val="lev"/>
          <w:rFonts w:ascii="Calibri" w:eastAsiaTheme="majorEastAsia" w:hAnsi="Calibri" w:cs="Calibri"/>
          <w:b w:val="0"/>
          <w:bCs w:val="0"/>
          <w:color w:val="000000" w:themeColor="text1"/>
        </w:rPr>
        <w:t xml:space="preserve">Une </w:t>
      </w:r>
      <w:r w:rsidR="00DD6D42">
        <w:rPr>
          <w:rStyle w:val="lev"/>
          <w:rFonts w:ascii="Calibri" w:eastAsiaTheme="majorEastAsia" w:hAnsi="Calibri" w:cs="Calibri"/>
          <w:b w:val="0"/>
          <w:bCs w:val="0"/>
          <w:color w:val="000000" w:themeColor="text1"/>
        </w:rPr>
        <w:t>e</w:t>
      </w:r>
      <w:r w:rsidRPr="00AF4901">
        <w:rPr>
          <w:rStyle w:val="lev"/>
          <w:rFonts w:ascii="Calibri" w:eastAsiaTheme="majorEastAsia" w:hAnsi="Calibri" w:cs="Calibri"/>
          <w:b w:val="0"/>
          <w:bCs w:val="0"/>
          <w:color w:val="000000" w:themeColor="text1"/>
        </w:rPr>
        <w:t xml:space="preserve">ntité </w:t>
      </w:r>
      <w:r w:rsidR="00556EE7">
        <w:rPr>
          <w:rStyle w:val="lev"/>
          <w:rFonts w:ascii="Calibri" w:eastAsiaTheme="majorEastAsia" w:hAnsi="Calibri" w:cs="Calibri"/>
          <w:b w:val="0"/>
          <w:bCs w:val="0"/>
          <w:color w:val="000000" w:themeColor="text1"/>
        </w:rPr>
        <w:t>qui tient des comptes monétaires comptabilise les émissions de</w:t>
      </w:r>
      <w:r w:rsidR="00DD6D42">
        <w:rPr>
          <w:rStyle w:val="lev"/>
          <w:rFonts w:ascii="Calibri" w:eastAsiaTheme="majorEastAsia" w:hAnsi="Calibri" w:cs="Calibri"/>
          <w:b w:val="0"/>
          <w:bCs w:val="0"/>
          <w:color w:val="000000" w:themeColor="text1"/>
        </w:rPr>
        <w:t>s</w:t>
      </w:r>
      <w:r w:rsidR="00556EE7">
        <w:rPr>
          <w:rStyle w:val="lev"/>
          <w:rFonts w:ascii="Calibri" w:eastAsiaTheme="majorEastAsia" w:hAnsi="Calibri" w:cs="Calibri"/>
          <w:b w:val="0"/>
          <w:bCs w:val="0"/>
          <w:color w:val="000000" w:themeColor="text1"/>
        </w:rPr>
        <w:t xml:space="preserve"> produits </w:t>
      </w:r>
      <w:r w:rsidR="00DD6D42">
        <w:rPr>
          <w:rStyle w:val="lev"/>
          <w:rFonts w:ascii="Calibri" w:eastAsiaTheme="majorEastAsia" w:hAnsi="Calibri" w:cs="Calibri"/>
          <w:b w:val="0"/>
          <w:bCs w:val="0"/>
          <w:color w:val="000000" w:themeColor="text1"/>
        </w:rPr>
        <w:t xml:space="preserve">achetés et vendus </w:t>
      </w:r>
      <w:r w:rsidR="00556EE7">
        <w:rPr>
          <w:rStyle w:val="lev"/>
          <w:rFonts w:ascii="Calibri" w:eastAsiaTheme="majorEastAsia" w:hAnsi="Calibri" w:cs="Calibri"/>
          <w:b w:val="0"/>
          <w:bCs w:val="0"/>
          <w:color w:val="000000" w:themeColor="text1"/>
        </w:rPr>
        <w:t>avec les mêmes règles</w:t>
      </w:r>
      <w:r w:rsidR="009001AD">
        <w:rPr>
          <w:rStyle w:val="lev"/>
          <w:rFonts w:ascii="Calibri" w:eastAsiaTheme="majorEastAsia" w:hAnsi="Calibri" w:cs="Calibri"/>
          <w:b w:val="0"/>
          <w:bCs w:val="0"/>
          <w:color w:val="000000" w:themeColor="text1"/>
        </w:rPr>
        <w:t xml:space="preserve"> comptables monétaires</w:t>
      </w:r>
      <w:r w:rsidR="00DD6D42">
        <w:rPr>
          <w:rStyle w:val="Appelnotedebasdep"/>
          <w:rFonts w:ascii="Calibri" w:eastAsiaTheme="majorEastAsia" w:hAnsi="Calibri" w:cs="Calibri"/>
          <w:color w:val="000000" w:themeColor="text1"/>
        </w:rPr>
        <w:footnoteReference w:id="2"/>
      </w:r>
      <w:r w:rsidR="00556EE7">
        <w:rPr>
          <w:rStyle w:val="lev"/>
          <w:rFonts w:ascii="Calibri" w:eastAsiaTheme="majorEastAsia" w:hAnsi="Calibri" w:cs="Calibri"/>
          <w:b w:val="0"/>
          <w:bCs w:val="0"/>
          <w:color w:val="000000" w:themeColor="text1"/>
        </w:rPr>
        <w:t xml:space="preserve"> que pour leurs coûts.</w:t>
      </w:r>
    </w:p>
    <w:p w14:paraId="1CD64482" w14:textId="652919EB" w:rsidR="006E2CD1" w:rsidRPr="00AF4901" w:rsidRDefault="00556EE7" w:rsidP="006E2CD1">
      <w:pPr>
        <w:pStyle w:val="NormalWeb"/>
        <w:numPr>
          <w:ilvl w:val="0"/>
          <w:numId w:val="9"/>
        </w:numPr>
        <w:jc w:val="both"/>
        <w:rPr>
          <w:rFonts w:ascii="Calibri" w:eastAsiaTheme="majorEastAsia" w:hAnsi="Calibri" w:cs="Calibri"/>
          <w:color w:val="000000" w:themeColor="text1"/>
        </w:rPr>
      </w:pPr>
      <w:r>
        <w:rPr>
          <w:rFonts w:ascii="Calibri" w:hAnsi="Calibri" w:cs="Calibri"/>
          <w:color w:val="000000" w:themeColor="text1"/>
        </w:rPr>
        <w:t>L</w:t>
      </w:r>
      <w:r w:rsidR="006E2CD1" w:rsidRPr="00AF4901">
        <w:rPr>
          <w:rFonts w:ascii="Calibri" w:hAnsi="Calibri" w:cs="Calibri"/>
          <w:color w:val="000000" w:themeColor="text1"/>
        </w:rPr>
        <w:t>’</w:t>
      </w:r>
      <w:r w:rsidR="00FF3C2E">
        <w:rPr>
          <w:rFonts w:ascii="Calibri" w:hAnsi="Calibri" w:cs="Calibri"/>
          <w:color w:val="000000" w:themeColor="text1"/>
        </w:rPr>
        <w:t>é</w:t>
      </w:r>
      <w:r w:rsidR="006E2CD1" w:rsidRPr="00AF4901">
        <w:rPr>
          <w:rFonts w:ascii="Calibri" w:hAnsi="Calibri" w:cs="Calibri"/>
          <w:color w:val="000000" w:themeColor="text1"/>
        </w:rPr>
        <w:t xml:space="preserve">mission du produit </w:t>
      </w:r>
      <w:r w:rsidR="002E4EE1">
        <w:rPr>
          <w:rFonts w:ascii="Calibri" w:hAnsi="Calibri" w:cs="Calibri"/>
          <w:color w:val="000000" w:themeColor="text1"/>
        </w:rPr>
        <w:t xml:space="preserve">vendu </w:t>
      </w:r>
      <w:r w:rsidR="00862620">
        <w:rPr>
          <w:rFonts w:ascii="Calibri" w:hAnsi="Calibri" w:cs="Calibri"/>
          <w:color w:val="000000" w:themeColor="text1"/>
        </w:rPr>
        <w:t xml:space="preserve">est </w:t>
      </w:r>
      <w:r>
        <w:rPr>
          <w:rFonts w:ascii="Calibri" w:hAnsi="Calibri" w:cs="Calibri"/>
          <w:color w:val="000000" w:themeColor="text1"/>
        </w:rPr>
        <w:t xml:space="preserve">transmise avec </w:t>
      </w:r>
      <w:r w:rsidR="00C67EE2">
        <w:rPr>
          <w:rFonts w:ascii="Calibri" w:hAnsi="Calibri" w:cs="Calibri"/>
          <w:color w:val="000000" w:themeColor="text1"/>
        </w:rPr>
        <w:t>le</w:t>
      </w:r>
      <w:r>
        <w:rPr>
          <w:rFonts w:ascii="Calibri" w:hAnsi="Calibri" w:cs="Calibri"/>
          <w:color w:val="000000" w:themeColor="text1"/>
        </w:rPr>
        <w:t xml:space="preserve"> prix sur la facture ou sur un moyen équivalent</w:t>
      </w:r>
      <w:r w:rsidR="006E2CD1" w:rsidRPr="00AF4901">
        <w:rPr>
          <w:rFonts w:ascii="Calibri" w:hAnsi="Calibri" w:cs="Calibri"/>
          <w:color w:val="000000" w:themeColor="text1"/>
        </w:rPr>
        <w:t>.</w:t>
      </w:r>
    </w:p>
    <w:p w14:paraId="4619F74C" w14:textId="2A0850E4" w:rsidR="00862620" w:rsidRPr="00AF4901" w:rsidRDefault="00FF3C2E" w:rsidP="00862620">
      <w:pPr>
        <w:pStyle w:val="NormalWeb"/>
        <w:numPr>
          <w:ilvl w:val="0"/>
          <w:numId w:val="9"/>
        </w:numPr>
        <w:jc w:val="both"/>
        <w:rPr>
          <w:rFonts w:ascii="Calibri" w:eastAsiaTheme="majorEastAsia" w:hAnsi="Calibri" w:cs="Calibri"/>
          <w:color w:val="000000" w:themeColor="text1"/>
        </w:rPr>
      </w:pPr>
      <w:r>
        <w:rPr>
          <w:rStyle w:val="lev"/>
          <w:rFonts w:ascii="Calibri" w:eastAsiaTheme="majorEastAsia" w:hAnsi="Calibri" w:cs="Calibri"/>
          <w:b w:val="0"/>
          <w:bCs w:val="0"/>
          <w:color w:val="000000" w:themeColor="text1"/>
        </w:rPr>
        <w:t>Elle</w:t>
      </w:r>
      <w:r w:rsidR="002E4EE1">
        <w:rPr>
          <w:rStyle w:val="lev"/>
          <w:rFonts w:ascii="Calibri" w:eastAsiaTheme="majorEastAsia" w:hAnsi="Calibri" w:cs="Calibri"/>
          <w:b w:val="0"/>
          <w:bCs w:val="0"/>
          <w:color w:val="000000" w:themeColor="text1"/>
        </w:rPr>
        <w:t xml:space="preserve"> </w:t>
      </w:r>
      <w:r w:rsidR="00862620" w:rsidRPr="00AF4901">
        <w:rPr>
          <w:rStyle w:val="lev"/>
          <w:rFonts w:ascii="Calibri" w:eastAsiaTheme="majorEastAsia" w:hAnsi="Calibri" w:cs="Calibri"/>
          <w:b w:val="0"/>
          <w:bCs w:val="0"/>
          <w:color w:val="000000" w:themeColor="text1"/>
        </w:rPr>
        <w:t xml:space="preserve">s’obtient en rapportant les </w:t>
      </w:r>
      <w:r w:rsidR="00C17BBB">
        <w:rPr>
          <w:rStyle w:val="lev"/>
          <w:rFonts w:ascii="Calibri" w:eastAsiaTheme="majorEastAsia" w:hAnsi="Calibri" w:cs="Calibri"/>
          <w:b w:val="0"/>
          <w:bCs w:val="0"/>
          <w:color w:val="000000" w:themeColor="text1"/>
        </w:rPr>
        <w:t>é</w:t>
      </w:r>
      <w:r w:rsidR="00862620" w:rsidRPr="00AF4901">
        <w:rPr>
          <w:rStyle w:val="lev"/>
          <w:rFonts w:ascii="Calibri" w:eastAsiaTheme="majorEastAsia" w:hAnsi="Calibri" w:cs="Calibri"/>
          <w:b w:val="0"/>
          <w:bCs w:val="0"/>
          <w:color w:val="000000" w:themeColor="text1"/>
        </w:rPr>
        <w:t>missions de</w:t>
      </w:r>
      <w:r w:rsidR="002E4EE1">
        <w:rPr>
          <w:rStyle w:val="lev"/>
          <w:rFonts w:ascii="Calibri" w:eastAsiaTheme="majorEastAsia" w:hAnsi="Calibri" w:cs="Calibri"/>
          <w:b w:val="0"/>
          <w:bCs w:val="0"/>
          <w:color w:val="000000" w:themeColor="text1"/>
        </w:rPr>
        <w:t xml:space="preserve"> la </w:t>
      </w:r>
      <w:r w:rsidR="00862620" w:rsidRPr="00AF4901">
        <w:rPr>
          <w:rStyle w:val="lev"/>
          <w:rFonts w:ascii="Calibri" w:eastAsiaTheme="majorEastAsia" w:hAnsi="Calibri" w:cs="Calibri"/>
          <w:b w:val="0"/>
          <w:bCs w:val="0"/>
          <w:color w:val="000000" w:themeColor="text1"/>
        </w:rPr>
        <w:t xml:space="preserve">production </w:t>
      </w:r>
      <w:r w:rsidR="00862620">
        <w:rPr>
          <w:rStyle w:val="lev"/>
          <w:rFonts w:ascii="Calibri" w:eastAsiaTheme="majorEastAsia" w:hAnsi="Calibri" w:cs="Calibri"/>
          <w:b w:val="0"/>
          <w:bCs w:val="0"/>
          <w:color w:val="000000" w:themeColor="text1"/>
        </w:rPr>
        <w:t>comptabilisées sur l’exercice</w:t>
      </w:r>
      <w:r w:rsidR="006C36C9">
        <w:rPr>
          <w:rStyle w:val="lev"/>
          <w:rFonts w:ascii="Calibri" w:eastAsiaTheme="majorEastAsia" w:hAnsi="Calibri" w:cs="Calibri"/>
          <w:b w:val="0"/>
          <w:bCs w:val="0"/>
          <w:color w:val="000000" w:themeColor="text1"/>
        </w:rPr>
        <w:t>, directes et indirectes,</w:t>
      </w:r>
      <w:r w:rsidR="00862620">
        <w:rPr>
          <w:rStyle w:val="lev"/>
          <w:rFonts w:ascii="Calibri" w:eastAsiaTheme="majorEastAsia" w:hAnsi="Calibri" w:cs="Calibri"/>
          <w:b w:val="0"/>
          <w:bCs w:val="0"/>
          <w:color w:val="000000" w:themeColor="text1"/>
        </w:rPr>
        <w:t xml:space="preserve"> </w:t>
      </w:r>
      <w:r w:rsidR="00862620" w:rsidRPr="00AF4901">
        <w:rPr>
          <w:rFonts w:ascii="Calibri" w:hAnsi="Calibri" w:cs="Calibri"/>
          <w:color w:val="000000" w:themeColor="text1"/>
        </w:rPr>
        <w:t xml:space="preserve">à une unité de quantité du produit </w:t>
      </w:r>
      <w:r w:rsidR="00DD6D42">
        <w:rPr>
          <w:rFonts w:ascii="Calibri" w:hAnsi="Calibri" w:cs="Calibri"/>
          <w:color w:val="000000" w:themeColor="text1"/>
        </w:rPr>
        <w:t>vendu</w:t>
      </w:r>
      <w:r w:rsidR="00556EE7">
        <w:rPr>
          <w:rFonts w:ascii="Calibri" w:hAnsi="Calibri" w:cs="Calibri"/>
          <w:color w:val="000000" w:themeColor="text1"/>
        </w:rPr>
        <w:t xml:space="preserve"> </w:t>
      </w:r>
      <w:r w:rsidR="00862620" w:rsidRPr="00AF4901">
        <w:rPr>
          <w:rFonts w:ascii="Calibri" w:hAnsi="Calibri" w:cs="Calibri"/>
          <w:color w:val="000000" w:themeColor="text1"/>
        </w:rPr>
        <w:t>(physique ou monétaire) connue du client. Si l’</w:t>
      </w:r>
      <w:r w:rsidR="000B50C0">
        <w:rPr>
          <w:rFonts w:ascii="Calibri" w:hAnsi="Calibri" w:cs="Calibri"/>
          <w:color w:val="000000" w:themeColor="text1"/>
        </w:rPr>
        <w:t>e</w:t>
      </w:r>
      <w:r w:rsidR="00862620" w:rsidRPr="00AF4901">
        <w:rPr>
          <w:rFonts w:ascii="Calibri" w:hAnsi="Calibri" w:cs="Calibri"/>
          <w:color w:val="000000" w:themeColor="text1"/>
        </w:rPr>
        <w:t xml:space="preserve">ntité </w:t>
      </w:r>
      <w:r w:rsidR="00556EE7">
        <w:rPr>
          <w:rFonts w:ascii="Calibri" w:hAnsi="Calibri" w:cs="Calibri"/>
          <w:color w:val="000000" w:themeColor="text1"/>
        </w:rPr>
        <w:t>comptabilise (</w:t>
      </w:r>
      <w:r w:rsidR="00862620" w:rsidRPr="00AF4901">
        <w:rPr>
          <w:rFonts w:ascii="Calibri" w:hAnsi="Calibri" w:cs="Calibri"/>
          <w:color w:val="000000" w:themeColor="text1"/>
        </w:rPr>
        <w:t>par comptabilité analytique</w:t>
      </w:r>
      <w:r w:rsidR="00556EE7">
        <w:rPr>
          <w:rFonts w:ascii="Calibri" w:hAnsi="Calibri" w:cs="Calibri"/>
          <w:color w:val="000000" w:themeColor="text1"/>
        </w:rPr>
        <w:t>)</w:t>
      </w:r>
      <w:r w:rsidR="00862620" w:rsidRPr="00AF4901">
        <w:rPr>
          <w:rFonts w:ascii="Calibri" w:hAnsi="Calibri" w:cs="Calibri"/>
          <w:color w:val="000000" w:themeColor="text1"/>
        </w:rPr>
        <w:t xml:space="preserve"> </w:t>
      </w:r>
      <w:r w:rsidR="00556EE7">
        <w:rPr>
          <w:rFonts w:ascii="Calibri" w:hAnsi="Calibri" w:cs="Calibri"/>
          <w:color w:val="000000" w:themeColor="text1"/>
        </w:rPr>
        <w:t xml:space="preserve">les coûts de </w:t>
      </w:r>
      <w:r w:rsidR="00862620" w:rsidRPr="00AF4901">
        <w:rPr>
          <w:rFonts w:ascii="Calibri" w:hAnsi="Calibri" w:cs="Calibri"/>
          <w:color w:val="000000" w:themeColor="text1"/>
        </w:rPr>
        <w:t xml:space="preserve">plusieurs produits </w:t>
      </w:r>
      <w:r w:rsidR="000B50C0">
        <w:rPr>
          <w:rFonts w:ascii="Calibri" w:hAnsi="Calibri" w:cs="Calibri"/>
          <w:color w:val="000000" w:themeColor="text1"/>
        </w:rPr>
        <w:t>vendu</w:t>
      </w:r>
      <w:r w:rsidR="00862620" w:rsidRPr="00AF4901">
        <w:rPr>
          <w:rFonts w:ascii="Calibri" w:hAnsi="Calibri" w:cs="Calibri"/>
          <w:color w:val="000000" w:themeColor="text1"/>
        </w:rPr>
        <w:t xml:space="preserve">s, les </w:t>
      </w:r>
      <w:r w:rsidR="00C17BBB">
        <w:rPr>
          <w:rFonts w:ascii="Calibri" w:hAnsi="Calibri" w:cs="Calibri"/>
          <w:color w:val="000000" w:themeColor="text1"/>
        </w:rPr>
        <w:t>é</w:t>
      </w:r>
      <w:r w:rsidR="00862620" w:rsidRPr="00AF4901">
        <w:rPr>
          <w:rFonts w:ascii="Calibri" w:hAnsi="Calibri" w:cs="Calibri"/>
          <w:color w:val="000000" w:themeColor="text1"/>
        </w:rPr>
        <w:t>missions de la production sont d’abord partagées entre ces produits selon les mêmes clés</w:t>
      </w:r>
      <w:r w:rsidR="00DD6D42">
        <w:rPr>
          <w:rFonts w:ascii="Calibri" w:hAnsi="Calibri" w:cs="Calibri"/>
          <w:color w:val="000000" w:themeColor="text1"/>
        </w:rPr>
        <w:t xml:space="preserve"> que les coûts</w:t>
      </w:r>
      <w:r w:rsidR="00862620" w:rsidRPr="00AF4901">
        <w:rPr>
          <w:rFonts w:ascii="Calibri" w:hAnsi="Calibri" w:cs="Calibri"/>
          <w:color w:val="000000" w:themeColor="text1"/>
        </w:rPr>
        <w:t>.</w:t>
      </w:r>
    </w:p>
    <w:p w14:paraId="71EFE3EF" w14:textId="77E48D80" w:rsidR="006E2CD1" w:rsidRPr="00AF4901" w:rsidRDefault="006E2CD1" w:rsidP="006E2CD1">
      <w:pPr>
        <w:pStyle w:val="NormalWeb"/>
        <w:numPr>
          <w:ilvl w:val="0"/>
          <w:numId w:val="9"/>
        </w:numPr>
        <w:jc w:val="both"/>
        <w:rPr>
          <w:rFonts w:ascii="Calibri" w:eastAsiaTheme="majorEastAsia" w:hAnsi="Calibri" w:cs="Calibri"/>
          <w:color w:val="000000" w:themeColor="text1"/>
        </w:rPr>
      </w:pPr>
      <w:r w:rsidRPr="00AF4901">
        <w:rPr>
          <w:rFonts w:ascii="Calibri" w:hAnsi="Calibri" w:cs="Calibri"/>
          <w:color w:val="000000" w:themeColor="text1"/>
        </w:rPr>
        <w:t>L</w:t>
      </w:r>
      <w:r w:rsidR="00556EE7">
        <w:rPr>
          <w:rFonts w:ascii="Calibri" w:hAnsi="Calibri" w:cs="Calibri"/>
          <w:color w:val="000000" w:themeColor="text1"/>
        </w:rPr>
        <w:t xml:space="preserve">es </w:t>
      </w:r>
      <w:r w:rsidR="00C17BBB">
        <w:rPr>
          <w:rFonts w:ascii="Calibri" w:hAnsi="Calibri" w:cs="Calibri"/>
          <w:color w:val="000000" w:themeColor="text1"/>
        </w:rPr>
        <w:t>é</w:t>
      </w:r>
      <w:r w:rsidRPr="00AF4901">
        <w:rPr>
          <w:rFonts w:ascii="Calibri" w:hAnsi="Calibri" w:cs="Calibri"/>
          <w:color w:val="000000" w:themeColor="text1"/>
        </w:rPr>
        <w:t xml:space="preserve">missions </w:t>
      </w:r>
      <w:r w:rsidR="00C17BBB">
        <w:rPr>
          <w:rFonts w:ascii="Calibri" w:hAnsi="Calibri" w:cs="Calibri"/>
          <w:color w:val="000000" w:themeColor="text1"/>
        </w:rPr>
        <w:t xml:space="preserve">indirectes </w:t>
      </w:r>
      <w:r w:rsidR="00556EE7">
        <w:rPr>
          <w:rFonts w:ascii="Calibri" w:hAnsi="Calibri" w:cs="Calibri"/>
          <w:color w:val="000000" w:themeColor="text1"/>
        </w:rPr>
        <w:t xml:space="preserve">de </w:t>
      </w:r>
      <w:r w:rsidR="00C17BBB">
        <w:rPr>
          <w:rFonts w:ascii="Calibri" w:hAnsi="Calibri" w:cs="Calibri"/>
          <w:color w:val="000000" w:themeColor="text1"/>
        </w:rPr>
        <w:t xml:space="preserve">la </w:t>
      </w:r>
      <w:r w:rsidR="00556EE7">
        <w:rPr>
          <w:rFonts w:ascii="Calibri" w:hAnsi="Calibri" w:cs="Calibri"/>
          <w:color w:val="000000" w:themeColor="text1"/>
        </w:rPr>
        <w:t xml:space="preserve">production </w:t>
      </w:r>
      <w:r w:rsidR="002E4EE1">
        <w:rPr>
          <w:rFonts w:ascii="Calibri" w:hAnsi="Calibri" w:cs="Calibri"/>
          <w:color w:val="000000" w:themeColor="text1"/>
        </w:rPr>
        <w:t xml:space="preserve">sont celles </w:t>
      </w:r>
      <w:r w:rsidR="00556EE7">
        <w:rPr>
          <w:rFonts w:ascii="Calibri" w:hAnsi="Calibri" w:cs="Calibri"/>
          <w:color w:val="000000" w:themeColor="text1"/>
        </w:rPr>
        <w:t xml:space="preserve">des produits </w:t>
      </w:r>
      <w:r w:rsidR="00CE02A3">
        <w:rPr>
          <w:rFonts w:ascii="Calibri" w:hAnsi="Calibri" w:cs="Calibri"/>
          <w:color w:val="000000" w:themeColor="text1"/>
        </w:rPr>
        <w:t>achetés</w:t>
      </w:r>
      <w:r w:rsidR="001E6FD3">
        <w:rPr>
          <w:rFonts w:ascii="Calibri" w:hAnsi="Calibri" w:cs="Calibri"/>
          <w:color w:val="000000" w:themeColor="text1"/>
        </w:rPr>
        <w:t xml:space="preserve"> </w:t>
      </w:r>
      <w:r w:rsidR="002E4EE1">
        <w:rPr>
          <w:rFonts w:ascii="Calibri" w:hAnsi="Calibri" w:cs="Calibri"/>
          <w:color w:val="000000" w:themeColor="text1"/>
        </w:rPr>
        <w:t>telles qu’</w:t>
      </w:r>
      <w:r w:rsidR="001E6FD3">
        <w:rPr>
          <w:rFonts w:ascii="Calibri" w:hAnsi="Calibri" w:cs="Calibri"/>
          <w:color w:val="000000" w:themeColor="text1"/>
        </w:rPr>
        <w:t xml:space="preserve">indiquées sur </w:t>
      </w:r>
      <w:r w:rsidRPr="00AF4901">
        <w:rPr>
          <w:rFonts w:ascii="Calibri" w:hAnsi="Calibri" w:cs="Calibri"/>
          <w:color w:val="000000" w:themeColor="text1"/>
        </w:rPr>
        <w:t>la facture d’achat. S</w:t>
      </w:r>
      <w:r w:rsidR="00862620">
        <w:rPr>
          <w:rFonts w:ascii="Calibri" w:hAnsi="Calibri" w:cs="Calibri"/>
          <w:color w:val="000000" w:themeColor="text1"/>
        </w:rPr>
        <w:t xml:space="preserve">ans </w:t>
      </w:r>
      <w:r w:rsidR="00C17BBB">
        <w:rPr>
          <w:rFonts w:ascii="Calibri" w:hAnsi="Calibri" w:cs="Calibri"/>
          <w:color w:val="000000" w:themeColor="text1"/>
        </w:rPr>
        <w:t>é</w:t>
      </w:r>
      <w:r w:rsidR="00862620">
        <w:rPr>
          <w:rFonts w:ascii="Calibri" w:hAnsi="Calibri" w:cs="Calibri"/>
          <w:color w:val="000000" w:themeColor="text1"/>
        </w:rPr>
        <w:t xml:space="preserve">mission sur </w:t>
      </w:r>
      <w:r w:rsidR="002E4EE1">
        <w:rPr>
          <w:rFonts w:ascii="Calibri" w:hAnsi="Calibri" w:cs="Calibri"/>
          <w:color w:val="000000" w:themeColor="text1"/>
        </w:rPr>
        <w:t>la</w:t>
      </w:r>
      <w:r w:rsidRPr="00AF4901">
        <w:rPr>
          <w:rFonts w:ascii="Calibri" w:hAnsi="Calibri" w:cs="Calibri"/>
          <w:color w:val="000000" w:themeColor="text1"/>
        </w:rPr>
        <w:t xml:space="preserve"> facture, l’</w:t>
      </w:r>
      <w:r w:rsidR="00C17BBB">
        <w:rPr>
          <w:rFonts w:ascii="Calibri" w:hAnsi="Calibri" w:cs="Calibri"/>
          <w:color w:val="000000" w:themeColor="text1"/>
        </w:rPr>
        <w:t>e</w:t>
      </w:r>
      <w:r w:rsidRPr="00AF4901">
        <w:rPr>
          <w:rFonts w:ascii="Calibri" w:hAnsi="Calibri" w:cs="Calibri"/>
          <w:color w:val="000000" w:themeColor="text1"/>
        </w:rPr>
        <w:t>ntité multiplie le montant facturé par le facteur d’émission le plus proche tiré des Mesures nationales d’émission</w:t>
      </w:r>
      <w:r w:rsidR="00DD6D42">
        <w:rPr>
          <w:rStyle w:val="Appelnotedebasdep"/>
          <w:rFonts w:ascii="Calibri" w:hAnsi="Calibri" w:cs="Calibri"/>
          <w:color w:val="000000" w:themeColor="text1"/>
        </w:rPr>
        <w:footnoteReference w:id="3"/>
      </w:r>
      <w:r w:rsidRPr="00AF4901">
        <w:rPr>
          <w:rFonts w:ascii="Calibri" w:hAnsi="Calibri" w:cs="Calibri"/>
          <w:color w:val="000000" w:themeColor="text1"/>
        </w:rPr>
        <w:t xml:space="preserve"> les plus récentes, </w:t>
      </w:r>
      <w:r w:rsidR="00C342E1">
        <w:rPr>
          <w:rFonts w:ascii="Calibri" w:hAnsi="Calibri" w:cs="Calibri"/>
          <w:color w:val="000000" w:themeColor="text1"/>
        </w:rPr>
        <w:t xml:space="preserve">augmenté </w:t>
      </w:r>
      <w:r w:rsidRPr="00AF4901">
        <w:rPr>
          <w:rFonts w:ascii="Calibri" w:hAnsi="Calibri" w:cs="Calibri"/>
          <w:color w:val="000000" w:themeColor="text1"/>
        </w:rPr>
        <w:t xml:space="preserve">d’un </w:t>
      </w:r>
      <w:r w:rsidR="00C342E1">
        <w:rPr>
          <w:rFonts w:ascii="Calibri" w:hAnsi="Calibri" w:cs="Calibri"/>
          <w:color w:val="000000" w:themeColor="text1"/>
        </w:rPr>
        <w:t xml:space="preserve">facteur </w:t>
      </w:r>
      <w:r w:rsidRPr="00AF4901">
        <w:rPr>
          <w:rFonts w:ascii="Calibri" w:hAnsi="Calibri" w:cs="Calibri"/>
          <w:color w:val="000000" w:themeColor="text1"/>
        </w:rPr>
        <w:t>multiplicatif de prudence</w:t>
      </w:r>
      <w:r w:rsidR="002E4EE1">
        <w:rPr>
          <w:rStyle w:val="Appelnotedebasdep"/>
          <w:rFonts w:ascii="Calibri" w:hAnsi="Calibri" w:cs="Calibri"/>
          <w:color w:val="000000" w:themeColor="text1"/>
        </w:rPr>
        <w:footnoteReference w:id="4"/>
      </w:r>
      <w:r w:rsidRPr="00AF4901">
        <w:rPr>
          <w:rFonts w:ascii="Calibri" w:hAnsi="Calibri" w:cs="Calibri"/>
          <w:color w:val="000000" w:themeColor="text1"/>
        </w:rPr>
        <w:t>.</w:t>
      </w:r>
    </w:p>
    <w:p w14:paraId="4622F426" w14:textId="6B5DEE99" w:rsidR="00DD6D42" w:rsidRPr="00AF4901" w:rsidRDefault="00DD6D42" w:rsidP="00DD6D42">
      <w:pPr>
        <w:pStyle w:val="NormalWeb"/>
        <w:numPr>
          <w:ilvl w:val="0"/>
          <w:numId w:val="9"/>
        </w:numPr>
        <w:jc w:val="both"/>
        <w:rPr>
          <w:rFonts w:ascii="Calibri" w:eastAsiaTheme="majorEastAsia" w:hAnsi="Calibri" w:cs="Calibri"/>
          <w:color w:val="000000" w:themeColor="text1"/>
        </w:rPr>
      </w:pPr>
      <w:r w:rsidRPr="00AF4901">
        <w:rPr>
          <w:rFonts w:ascii="Calibri" w:hAnsi="Calibri" w:cs="Calibri"/>
          <w:color w:val="000000" w:themeColor="text1"/>
        </w:rPr>
        <w:t>L</w:t>
      </w:r>
      <w:r>
        <w:rPr>
          <w:rFonts w:ascii="Calibri" w:hAnsi="Calibri" w:cs="Calibri"/>
          <w:color w:val="000000" w:themeColor="text1"/>
        </w:rPr>
        <w:t xml:space="preserve">es </w:t>
      </w:r>
      <w:r w:rsidR="000B50C0">
        <w:rPr>
          <w:rFonts w:ascii="Calibri" w:hAnsi="Calibri" w:cs="Calibri"/>
          <w:color w:val="000000" w:themeColor="text1"/>
        </w:rPr>
        <w:t>é</w:t>
      </w:r>
      <w:r w:rsidRPr="00AF4901">
        <w:rPr>
          <w:rFonts w:ascii="Calibri" w:hAnsi="Calibri" w:cs="Calibri"/>
          <w:color w:val="000000" w:themeColor="text1"/>
        </w:rPr>
        <w:t xml:space="preserve">missions </w:t>
      </w:r>
      <w:r w:rsidR="00C17BBB">
        <w:rPr>
          <w:rFonts w:ascii="Calibri" w:hAnsi="Calibri" w:cs="Calibri"/>
          <w:color w:val="000000" w:themeColor="text1"/>
        </w:rPr>
        <w:t>direct</w:t>
      </w:r>
      <w:r>
        <w:rPr>
          <w:rFonts w:ascii="Calibri" w:hAnsi="Calibri" w:cs="Calibri"/>
          <w:color w:val="000000" w:themeColor="text1"/>
        </w:rPr>
        <w:t>es de production</w:t>
      </w:r>
      <w:r w:rsidR="00C17BBB">
        <w:rPr>
          <w:rFonts w:ascii="Calibri" w:hAnsi="Calibri" w:cs="Calibri"/>
          <w:color w:val="000000" w:themeColor="text1"/>
        </w:rPr>
        <w:t xml:space="preserve">, celles </w:t>
      </w:r>
      <w:r>
        <w:rPr>
          <w:rFonts w:ascii="Calibri" w:hAnsi="Calibri" w:cs="Calibri"/>
          <w:color w:val="000000" w:themeColor="text1"/>
        </w:rPr>
        <w:t>provoquées par le processus de production</w:t>
      </w:r>
      <w:r w:rsidR="006C36C9">
        <w:rPr>
          <w:rFonts w:ascii="Calibri" w:hAnsi="Calibri" w:cs="Calibri"/>
          <w:color w:val="000000" w:themeColor="text1"/>
        </w:rPr>
        <w:t>,</w:t>
      </w:r>
      <w:r>
        <w:rPr>
          <w:rFonts w:ascii="Calibri" w:hAnsi="Calibri" w:cs="Calibri"/>
          <w:color w:val="000000" w:themeColor="text1"/>
        </w:rPr>
        <w:t xml:space="preserve"> </w:t>
      </w:r>
      <w:r w:rsidRPr="00AF4901">
        <w:rPr>
          <w:rFonts w:ascii="Calibri" w:hAnsi="Calibri" w:cs="Calibri"/>
          <w:color w:val="000000" w:themeColor="text1"/>
        </w:rPr>
        <w:t>sui</w:t>
      </w:r>
      <w:r>
        <w:rPr>
          <w:rFonts w:ascii="Calibri" w:hAnsi="Calibri" w:cs="Calibri"/>
          <w:color w:val="000000" w:themeColor="text1"/>
        </w:rPr>
        <w:t>v</w:t>
      </w:r>
      <w:r w:rsidR="00C17BBB">
        <w:rPr>
          <w:rFonts w:ascii="Calibri" w:hAnsi="Calibri" w:cs="Calibri"/>
          <w:color w:val="000000" w:themeColor="text1"/>
        </w:rPr>
        <w:t>e</w:t>
      </w:r>
      <w:r>
        <w:rPr>
          <w:rFonts w:ascii="Calibri" w:hAnsi="Calibri" w:cs="Calibri"/>
          <w:color w:val="000000" w:themeColor="text1"/>
        </w:rPr>
        <w:t>n</w:t>
      </w:r>
      <w:r w:rsidRPr="00AF4901">
        <w:rPr>
          <w:rFonts w:ascii="Calibri" w:hAnsi="Calibri" w:cs="Calibri"/>
          <w:color w:val="000000" w:themeColor="text1"/>
        </w:rPr>
        <w:t xml:space="preserve">t les </w:t>
      </w:r>
      <w:r w:rsidR="006C36C9" w:rsidRPr="00AF4901">
        <w:rPr>
          <w:rFonts w:ascii="Calibri" w:hAnsi="Calibri" w:cs="Calibri"/>
          <w:color w:val="000000" w:themeColor="text1"/>
        </w:rPr>
        <w:t>règles de mesure directe des émissions établies par le système des Nations Unies et les protocoles qui en dérivent</w:t>
      </w:r>
      <w:r>
        <w:rPr>
          <w:rStyle w:val="Appelnotedebasdep"/>
          <w:rFonts w:ascii="Calibri" w:hAnsi="Calibri" w:cs="Calibri"/>
          <w:color w:val="000000" w:themeColor="text1"/>
        </w:rPr>
        <w:footnoteReference w:id="5"/>
      </w:r>
      <w:r w:rsidRPr="00AF4901">
        <w:rPr>
          <w:rFonts w:ascii="Calibri" w:hAnsi="Calibri" w:cs="Calibri"/>
          <w:color w:val="000000" w:themeColor="text1"/>
        </w:rPr>
        <w:t>.</w:t>
      </w:r>
    </w:p>
    <w:p w14:paraId="76A3ABE1" w14:textId="77777777" w:rsidR="009D2D2A" w:rsidRPr="00556EE7" w:rsidRDefault="009D2D2A" w:rsidP="009D2D2A">
      <w:pPr>
        <w:pStyle w:val="NormalWeb"/>
        <w:numPr>
          <w:ilvl w:val="0"/>
          <w:numId w:val="9"/>
        </w:numPr>
        <w:jc w:val="both"/>
        <w:rPr>
          <w:rFonts w:ascii="Calibri" w:eastAsiaTheme="majorEastAsia" w:hAnsi="Calibri" w:cs="Calibri"/>
          <w:color w:val="000000" w:themeColor="text1"/>
        </w:rPr>
      </w:pPr>
      <w:r w:rsidRPr="00AF4901">
        <w:rPr>
          <w:rFonts w:ascii="Calibri" w:hAnsi="Calibri" w:cs="Calibri"/>
          <w:color w:val="000000" w:themeColor="text1"/>
        </w:rPr>
        <w:t xml:space="preserve">Les </w:t>
      </w:r>
      <w:r>
        <w:rPr>
          <w:rFonts w:ascii="Calibri" w:hAnsi="Calibri" w:cs="Calibri"/>
          <w:color w:val="000000" w:themeColor="text1"/>
        </w:rPr>
        <w:t>é</w:t>
      </w:r>
      <w:r w:rsidRPr="00AF4901">
        <w:rPr>
          <w:rFonts w:ascii="Calibri" w:hAnsi="Calibri" w:cs="Calibri"/>
          <w:color w:val="000000" w:themeColor="text1"/>
        </w:rPr>
        <w:t xml:space="preserve">missions totales de production comptabilisées </w:t>
      </w:r>
      <w:r>
        <w:rPr>
          <w:rFonts w:ascii="Calibri" w:hAnsi="Calibri" w:cs="Calibri"/>
          <w:color w:val="000000" w:themeColor="text1"/>
        </w:rPr>
        <w:t xml:space="preserve">par l’entité </w:t>
      </w:r>
      <w:r w:rsidRPr="00AF4901">
        <w:rPr>
          <w:rFonts w:ascii="Calibri" w:hAnsi="Calibri" w:cs="Calibri"/>
          <w:color w:val="000000" w:themeColor="text1"/>
        </w:rPr>
        <w:t xml:space="preserve">sur un exercice sont répercutées sur les produits </w:t>
      </w:r>
      <w:r>
        <w:rPr>
          <w:rFonts w:ascii="Calibri" w:hAnsi="Calibri" w:cs="Calibri"/>
          <w:color w:val="000000" w:themeColor="text1"/>
        </w:rPr>
        <w:t xml:space="preserve">vendus </w:t>
      </w:r>
      <w:r w:rsidRPr="00AF4901">
        <w:rPr>
          <w:rFonts w:ascii="Calibri" w:hAnsi="Calibri" w:cs="Calibri"/>
          <w:color w:val="000000" w:themeColor="text1"/>
        </w:rPr>
        <w:t xml:space="preserve">au cours de l’exercice et l’écart est ajusté sur l’exercice suivant. </w:t>
      </w:r>
    </w:p>
    <w:p w14:paraId="265E7620" w14:textId="377DD2C9" w:rsidR="006E2CD1" w:rsidRPr="00AF4901" w:rsidRDefault="006E2CD1" w:rsidP="006E2CD1">
      <w:pPr>
        <w:pStyle w:val="NormalWeb"/>
        <w:numPr>
          <w:ilvl w:val="0"/>
          <w:numId w:val="9"/>
        </w:numPr>
        <w:jc w:val="both"/>
        <w:rPr>
          <w:rFonts w:ascii="Calibri" w:eastAsiaTheme="majorEastAsia" w:hAnsi="Calibri" w:cs="Calibri"/>
          <w:color w:val="000000" w:themeColor="text1"/>
        </w:rPr>
      </w:pPr>
      <w:r w:rsidRPr="00AF4901">
        <w:rPr>
          <w:rFonts w:ascii="Calibri" w:hAnsi="Calibri" w:cs="Calibri"/>
          <w:color w:val="000000" w:themeColor="text1"/>
        </w:rPr>
        <w:t>Le comptable de l’</w:t>
      </w:r>
      <w:r w:rsidR="000B50C0">
        <w:rPr>
          <w:rFonts w:ascii="Calibri" w:hAnsi="Calibri" w:cs="Calibri"/>
          <w:color w:val="000000" w:themeColor="text1"/>
        </w:rPr>
        <w:t>e</w:t>
      </w:r>
      <w:r w:rsidRPr="00AF4901">
        <w:rPr>
          <w:rFonts w:ascii="Calibri" w:hAnsi="Calibri" w:cs="Calibri"/>
          <w:color w:val="000000" w:themeColor="text1"/>
        </w:rPr>
        <w:t>ntité peut déroger aux règles précédentes en le justifiant.</w:t>
      </w:r>
    </w:p>
    <w:p w14:paraId="10E664D2" w14:textId="5658D040" w:rsidR="006E2CD1" w:rsidRPr="00AF4901" w:rsidRDefault="006E2CD1" w:rsidP="006E2CD1">
      <w:pPr>
        <w:pStyle w:val="NormalWeb"/>
        <w:numPr>
          <w:ilvl w:val="0"/>
          <w:numId w:val="9"/>
        </w:numPr>
        <w:jc w:val="both"/>
        <w:rPr>
          <w:rFonts w:ascii="Calibri" w:eastAsiaTheme="majorEastAsia" w:hAnsi="Calibri" w:cs="Calibri"/>
          <w:color w:val="000000" w:themeColor="text1"/>
        </w:rPr>
      </w:pPr>
      <w:r w:rsidRPr="00AF4901">
        <w:rPr>
          <w:rFonts w:ascii="Calibri" w:hAnsi="Calibri" w:cs="Calibri"/>
          <w:color w:val="000000" w:themeColor="text1"/>
        </w:rPr>
        <w:t>L’</w:t>
      </w:r>
      <w:r w:rsidR="000B50C0">
        <w:rPr>
          <w:rFonts w:ascii="Calibri" w:hAnsi="Calibri" w:cs="Calibri"/>
          <w:color w:val="000000" w:themeColor="text1"/>
        </w:rPr>
        <w:t>e</w:t>
      </w:r>
      <w:r w:rsidRPr="00AF4901">
        <w:rPr>
          <w:rFonts w:ascii="Calibri" w:hAnsi="Calibri" w:cs="Calibri"/>
          <w:color w:val="000000" w:themeColor="text1"/>
        </w:rPr>
        <w:t xml:space="preserve">ntité applique à la vérification de la comptabilisation des </w:t>
      </w:r>
      <w:r w:rsidR="000B50C0">
        <w:rPr>
          <w:rFonts w:ascii="Calibri" w:hAnsi="Calibri" w:cs="Calibri"/>
          <w:color w:val="000000" w:themeColor="text1"/>
        </w:rPr>
        <w:t>é</w:t>
      </w:r>
      <w:r w:rsidRPr="00AF4901">
        <w:rPr>
          <w:rFonts w:ascii="Calibri" w:hAnsi="Calibri" w:cs="Calibri"/>
          <w:color w:val="000000" w:themeColor="text1"/>
        </w:rPr>
        <w:t>missions les mêmes standards d’audit que pour ses comptes monétaires.</w:t>
      </w:r>
    </w:p>
    <w:p w14:paraId="71B692CB" w14:textId="5390A94E" w:rsidR="006E2CD1" w:rsidRPr="00AF4901" w:rsidRDefault="006E2CD1" w:rsidP="006E2CD1">
      <w:pPr>
        <w:pStyle w:val="NormalWeb"/>
        <w:numPr>
          <w:ilvl w:val="0"/>
          <w:numId w:val="9"/>
        </w:numPr>
        <w:spacing w:before="0" w:beforeAutospacing="0" w:after="0" w:afterAutospacing="0"/>
        <w:jc w:val="both"/>
        <w:rPr>
          <w:rFonts w:ascii="Calibri" w:eastAsiaTheme="majorEastAsia" w:hAnsi="Calibri" w:cs="Calibri"/>
          <w:color w:val="000000" w:themeColor="text1"/>
        </w:rPr>
      </w:pPr>
      <w:r w:rsidRPr="00AF4901">
        <w:rPr>
          <w:rFonts w:ascii="Calibri" w:hAnsi="Calibri" w:cs="Calibri"/>
          <w:color w:val="000000" w:themeColor="text1"/>
        </w:rPr>
        <w:t xml:space="preserve">Des </w:t>
      </w:r>
      <w:r w:rsidR="008631E7">
        <w:rPr>
          <w:rFonts w:ascii="Calibri" w:hAnsi="Calibri" w:cs="Calibri"/>
          <w:color w:val="000000" w:themeColor="text1"/>
        </w:rPr>
        <w:t>souplesses sont ouverte</w:t>
      </w:r>
      <w:r w:rsidR="00DD6D42">
        <w:rPr>
          <w:rFonts w:ascii="Calibri" w:hAnsi="Calibri" w:cs="Calibri"/>
          <w:color w:val="000000" w:themeColor="text1"/>
        </w:rPr>
        <w:t>s</w:t>
      </w:r>
      <w:r w:rsidR="008631E7">
        <w:rPr>
          <w:rFonts w:ascii="Calibri" w:hAnsi="Calibri" w:cs="Calibri"/>
          <w:color w:val="000000" w:themeColor="text1"/>
        </w:rPr>
        <w:t xml:space="preserve"> </w:t>
      </w:r>
      <w:r w:rsidR="00C17BBB">
        <w:rPr>
          <w:rFonts w:ascii="Calibri" w:hAnsi="Calibri" w:cs="Calibri"/>
          <w:color w:val="000000" w:themeColor="text1"/>
        </w:rPr>
        <w:t>à une</w:t>
      </w:r>
      <w:r w:rsidR="00DD6D42">
        <w:rPr>
          <w:rFonts w:ascii="Calibri" w:hAnsi="Calibri" w:cs="Calibri"/>
          <w:color w:val="000000" w:themeColor="text1"/>
        </w:rPr>
        <w:t xml:space="preserve"> </w:t>
      </w:r>
      <w:r w:rsidR="000B50C0">
        <w:rPr>
          <w:rFonts w:ascii="Calibri" w:hAnsi="Calibri" w:cs="Calibri"/>
          <w:color w:val="000000" w:themeColor="text1"/>
        </w:rPr>
        <w:t>e</w:t>
      </w:r>
      <w:r w:rsidRPr="00AF4901">
        <w:rPr>
          <w:rFonts w:ascii="Calibri" w:hAnsi="Calibri" w:cs="Calibri"/>
          <w:color w:val="000000" w:themeColor="text1"/>
        </w:rPr>
        <w:t>ntité </w:t>
      </w:r>
      <w:r w:rsidR="00DD6D42">
        <w:rPr>
          <w:rFonts w:ascii="Calibri" w:hAnsi="Calibri" w:cs="Calibri"/>
          <w:color w:val="000000" w:themeColor="text1"/>
        </w:rPr>
        <w:t xml:space="preserve">suffisamment petite pour le justifier </w:t>
      </w:r>
      <w:r w:rsidRPr="00AF4901">
        <w:rPr>
          <w:rFonts w:ascii="Calibri" w:hAnsi="Calibri" w:cs="Calibri"/>
          <w:color w:val="000000" w:themeColor="text1"/>
        </w:rPr>
        <w:t>:</w:t>
      </w:r>
    </w:p>
    <w:p w14:paraId="042A7308" w14:textId="2E75677A" w:rsidR="006E2CD1" w:rsidRPr="00AF4901" w:rsidRDefault="006E2CD1" w:rsidP="006E2CD1">
      <w:pPr>
        <w:pStyle w:val="Paragraphedeliste"/>
        <w:spacing w:after="0"/>
        <w:ind w:left="708"/>
        <w:jc w:val="both"/>
        <w:rPr>
          <w:rFonts w:ascii="Calibri" w:hAnsi="Calibri" w:cs="Calibri"/>
          <w:color w:val="000000" w:themeColor="text1"/>
        </w:rPr>
      </w:pPr>
      <w:r w:rsidRPr="00AF4901">
        <w:rPr>
          <w:rFonts w:ascii="Calibri" w:hAnsi="Calibri" w:cs="Calibri"/>
          <w:color w:val="000000" w:themeColor="text1"/>
        </w:rPr>
        <w:lastRenderedPageBreak/>
        <w:t>(§3)</w:t>
      </w:r>
      <w:r w:rsidR="001F12B4" w:rsidRPr="00AF4901">
        <w:rPr>
          <w:rFonts w:ascii="Calibri" w:hAnsi="Calibri" w:cs="Calibri"/>
          <w:color w:val="000000" w:themeColor="text1"/>
        </w:rPr>
        <w:t xml:space="preserve"> Elle</w:t>
      </w:r>
      <w:r w:rsidRPr="00AF4901">
        <w:rPr>
          <w:rFonts w:ascii="Calibri" w:hAnsi="Calibri" w:cs="Calibri"/>
          <w:color w:val="000000" w:themeColor="text1"/>
        </w:rPr>
        <w:t xml:space="preserve"> </w:t>
      </w:r>
      <w:r w:rsidR="001F12B4" w:rsidRPr="00AF4901">
        <w:rPr>
          <w:rFonts w:ascii="Calibri" w:hAnsi="Calibri" w:cs="Calibri"/>
          <w:color w:val="000000" w:themeColor="text1"/>
        </w:rPr>
        <w:t xml:space="preserve">peut éviter </w:t>
      </w:r>
      <w:r w:rsidRPr="00AF4901">
        <w:rPr>
          <w:rFonts w:ascii="Calibri" w:hAnsi="Calibri" w:cs="Calibri"/>
          <w:color w:val="000000" w:themeColor="text1"/>
        </w:rPr>
        <w:t>le contrôl</w:t>
      </w:r>
      <w:r w:rsidR="008631E7">
        <w:rPr>
          <w:rFonts w:ascii="Calibri" w:hAnsi="Calibri" w:cs="Calibri"/>
          <w:color w:val="000000" w:themeColor="text1"/>
        </w:rPr>
        <w:t xml:space="preserve">e </w:t>
      </w:r>
      <w:r w:rsidRPr="00AF4901">
        <w:rPr>
          <w:rFonts w:ascii="Calibri" w:hAnsi="Calibri" w:cs="Calibri"/>
          <w:color w:val="000000" w:themeColor="text1"/>
        </w:rPr>
        <w:t xml:space="preserve">de l’équilibre annuel entre </w:t>
      </w:r>
      <w:r w:rsidR="000B50C0">
        <w:rPr>
          <w:rFonts w:ascii="Calibri" w:hAnsi="Calibri" w:cs="Calibri"/>
          <w:color w:val="000000" w:themeColor="text1"/>
        </w:rPr>
        <w:t>é</w:t>
      </w:r>
      <w:r w:rsidRPr="00AF4901">
        <w:rPr>
          <w:rFonts w:ascii="Calibri" w:hAnsi="Calibri" w:cs="Calibri"/>
          <w:color w:val="000000" w:themeColor="text1"/>
        </w:rPr>
        <w:t xml:space="preserve">missions </w:t>
      </w:r>
      <w:r w:rsidR="001F12B4" w:rsidRPr="00AF4901">
        <w:rPr>
          <w:rFonts w:ascii="Calibri" w:hAnsi="Calibri" w:cs="Calibri"/>
          <w:color w:val="000000" w:themeColor="text1"/>
        </w:rPr>
        <w:t>de production</w:t>
      </w:r>
      <w:r w:rsidRPr="00AF4901">
        <w:rPr>
          <w:rFonts w:ascii="Calibri" w:hAnsi="Calibri" w:cs="Calibri"/>
          <w:color w:val="000000" w:themeColor="text1"/>
        </w:rPr>
        <w:t xml:space="preserve"> et </w:t>
      </w:r>
      <w:r w:rsidR="000B50C0">
        <w:rPr>
          <w:rFonts w:ascii="Calibri" w:hAnsi="Calibri" w:cs="Calibri"/>
          <w:color w:val="000000" w:themeColor="text1"/>
        </w:rPr>
        <w:t>é</w:t>
      </w:r>
      <w:r w:rsidRPr="00AF4901">
        <w:rPr>
          <w:rFonts w:ascii="Calibri" w:hAnsi="Calibri" w:cs="Calibri"/>
          <w:color w:val="000000" w:themeColor="text1"/>
        </w:rPr>
        <w:t xml:space="preserve">missions </w:t>
      </w:r>
      <w:r w:rsidR="008631E7">
        <w:rPr>
          <w:rFonts w:ascii="Calibri" w:hAnsi="Calibri" w:cs="Calibri"/>
          <w:color w:val="000000" w:themeColor="text1"/>
        </w:rPr>
        <w:t>répercuté</w:t>
      </w:r>
      <w:r w:rsidRPr="00AF4901">
        <w:rPr>
          <w:rFonts w:ascii="Calibri" w:hAnsi="Calibri" w:cs="Calibri"/>
          <w:color w:val="000000" w:themeColor="text1"/>
        </w:rPr>
        <w:t xml:space="preserve">es en </w:t>
      </w:r>
      <w:r w:rsidR="000B50C0">
        <w:rPr>
          <w:rFonts w:ascii="Calibri" w:hAnsi="Calibri" w:cs="Calibri"/>
          <w:color w:val="000000" w:themeColor="text1"/>
        </w:rPr>
        <w:t>associant à chaque produit vendu son é</w:t>
      </w:r>
      <w:r w:rsidRPr="00AF4901">
        <w:rPr>
          <w:rFonts w:ascii="Calibri" w:hAnsi="Calibri" w:cs="Calibri"/>
          <w:color w:val="000000" w:themeColor="text1"/>
        </w:rPr>
        <w:t xml:space="preserve">mission </w:t>
      </w:r>
      <w:r w:rsidR="001F12B4" w:rsidRPr="00AF4901">
        <w:rPr>
          <w:rFonts w:ascii="Calibri" w:hAnsi="Calibri" w:cs="Calibri"/>
          <w:color w:val="000000" w:themeColor="text1"/>
        </w:rPr>
        <w:t xml:space="preserve">unitaire </w:t>
      </w:r>
      <w:r w:rsidRPr="00AF4901">
        <w:rPr>
          <w:rFonts w:ascii="Calibri" w:hAnsi="Calibri" w:cs="Calibri"/>
          <w:color w:val="000000" w:themeColor="text1"/>
        </w:rPr>
        <w:t>du dernier exercice clôturé.</w:t>
      </w:r>
    </w:p>
    <w:p w14:paraId="6B8BA1FE" w14:textId="42029A5B" w:rsidR="006E2CD1" w:rsidRPr="00AF4901" w:rsidRDefault="006E2CD1" w:rsidP="006E2CD1">
      <w:pPr>
        <w:spacing w:after="0"/>
        <w:ind w:left="708"/>
        <w:jc w:val="both"/>
        <w:rPr>
          <w:rFonts w:ascii="Calibri" w:hAnsi="Calibri" w:cs="Calibri"/>
          <w:color w:val="000000" w:themeColor="text1"/>
        </w:rPr>
      </w:pPr>
      <w:r w:rsidRPr="00AF4901">
        <w:rPr>
          <w:rFonts w:ascii="Calibri" w:hAnsi="Calibri" w:cs="Calibri"/>
          <w:color w:val="000000" w:themeColor="text1"/>
        </w:rPr>
        <w:t xml:space="preserve">(§4) </w:t>
      </w:r>
      <w:r w:rsidR="001F12B4" w:rsidRPr="00AF4901">
        <w:rPr>
          <w:rFonts w:ascii="Calibri" w:hAnsi="Calibri" w:cs="Calibri"/>
          <w:color w:val="000000" w:themeColor="text1"/>
        </w:rPr>
        <w:t>Elle peut c</w:t>
      </w:r>
      <w:r w:rsidRPr="00AF4901">
        <w:rPr>
          <w:rFonts w:ascii="Calibri" w:hAnsi="Calibri" w:cs="Calibri"/>
          <w:color w:val="000000" w:themeColor="text1"/>
        </w:rPr>
        <w:t xml:space="preserve">omptabiliser tout ou partie de ses </w:t>
      </w:r>
      <w:r w:rsidR="001944A8">
        <w:rPr>
          <w:rFonts w:ascii="Calibri" w:hAnsi="Calibri" w:cs="Calibri"/>
          <w:color w:val="000000" w:themeColor="text1"/>
        </w:rPr>
        <w:t>é</w:t>
      </w:r>
      <w:r w:rsidRPr="00AF4901">
        <w:rPr>
          <w:rFonts w:ascii="Calibri" w:hAnsi="Calibri" w:cs="Calibri"/>
          <w:color w:val="000000" w:themeColor="text1"/>
        </w:rPr>
        <w:t>missions en partie simple.</w:t>
      </w:r>
    </w:p>
    <w:p w14:paraId="66D26DEE" w14:textId="669DD853" w:rsidR="006E2CD1" w:rsidRPr="00AF4901" w:rsidRDefault="006E2CD1" w:rsidP="006E2CD1">
      <w:pPr>
        <w:spacing w:after="0"/>
        <w:ind w:left="708"/>
        <w:jc w:val="both"/>
        <w:rPr>
          <w:rFonts w:ascii="Calibri" w:hAnsi="Calibri" w:cs="Calibri"/>
          <w:color w:val="000000" w:themeColor="text1"/>
        </w:rPr>
      </w:pPr>
      <w:r w:rsidRPr="00AF4901">
        <w:rPr>
          <w:rFonts w:ascii="Calibri" w:hAnsi="Calibri" w:cs="Calibri"/>
          <w:color w:val="000000" w:themeColor="text1"/>
        </w:rPr>
        <w:t xml:space="preserve">(§6) </w:t>
      </w:r>
      <w:r w:rsidR="001F12B4" w:rsidRPr="00AF4901">
        <w:rPr>
          <w:rFonts w:ascii="Calibri" w:hAnsi="Calibri" w:cs="Calibri"/>
          <w:color w:val="000000" w:themeColor="text1"/>
        </w:rPr>
        <w:t>Elle peut u</w:t>
      </w:r>
      <w:r w:rsidRPr="00AF4901">
        <w:rPr>
          <w:rFonts w:ascii="Calibri" w:hAnsi="Calibri" w:cs="Calibri"/>
          <w:color w:val="000000" w:themeColor="text1"/>
        </w:rPr>
        <w:t xml:space="preserve">tiliser le même facteur d’émission moyen des Mesures nationales pour </w:t>
      </w:r>
      <w:r w:rsidR="00EC725A" w:rsidRPr="00AF4901">
        <w:rPr>
          <w:rFonts w:ascii="Calibri" w:hAnsi="Calibri" w:cs="Calibri"/>
          <w:color w:val="000000" w:themeColor="text1"/>
        </w:rPr>
        <w:t xml:space="preserve">tous </w:t>
      </w:r>
      <w:r w:rsidRPr="00AF4901">
        <w:rPr>
          <w:rFonts w:ascii="Calibri" w:hAnsi="Calibri" w:cs="Calibri"/>
          <w:color w:val="000000" w:themeColor="text1"/>
        </w:rPr>
        <w:t xml:space="preserve">ses achats non </w:t>
      </w:r>
      <w:r w:rsidR="008631E7">
        <w:rPr>
          <w:rFonts w:ascii="Calibri" w:hAnsi="Calibri" w:cs="Calibri"/>
          <w:color w:val="000000" w:themeColor="text1"/>
        </w:rPr>
        <w:t xml:space="preserve">significatifs (non </w:t>
      </w:r>
      <w:r w:rsidRPr="00AF4901">
        <w:rPr>
          <w:rFonts w:ascii="Calibri" w:hAnsi="Calibri" w:cs="Calibri"/>
          <w:color w:val="000000" w:themeColor="text1"/>
        </w:rPr>
        <w:t>susceptibles de créer un biais significatif par rapport aux concurrents de sa branche</w:t>
      </w:r>
      <w:r w:rsidR="008631E7">
        <w:rPr>
          <w:rFonts w:ascii="Calibri" w:hAnsi="Calibri" w:cs="Calibri"/>
          <w:color w:val="000000" w:themeColor="text1"/>
        </w:rPr>
        <w:t>)</w:t>
      </w:r>
      <w:r w:rsidRPr="00AF4901">
        <w:rPr>
          <w:rFonts w:ascii="Calibri" w:hAnsi="Calibri" w:cs="Calibri"/>
          <w:color w:val="000000" w:themeColor="text1"/>
        </w:rPr>
        <w:t xml:space="preserve">. </w:t>
      </w:r>
    </w:p>
    <w:p w14:paraId="2B60370D" w14:textId="77777777" w:rsidR="002C1FC2" w:rsidRPr="00AF4901" w:rsidRDefault="002C1FC2" w:rsidP="007914CB">
      <w:pPr>
        <w:jc w:val="both"/>
        <w:rPr>
          <w:rFonts w:ascii="Calibri" w:hAnsi="Calibri" w:cs="Calibri"/>
          <w:color w:val="000000" w:themeColor="text1"/>
        </w:rPr>
      </w:pPr>
    </w:p>
    <w:p w14:paraId="7B1DFA2C" w14:textId="29D796D3" w:rsidR="00514824" w:rsidRPr="00AF4901" w:rsidRDefault="00514824" w:rsidP="00514824">
      <w:pPr>
        <w:jc w:val="both"/>
        <w:rPr>
          <w:rFonts w:ascii="Calibri" w:hAnsi="Calibri" w:cs="Calibri"/>
          <w:color w:val="000000" w:themeColor="text1"/>
        </w:rPr>
      </w:pPr>
    </w:p>
    <w:p w14:paraId="77F9352E" w14:textId="77777777" w:rsidR="00AF4901" w:rsidRPr="00AF4901" w:rsidRDefault="00AF4901" w:rsidP="00514824">
      <w:pPr>
        <w:spacing w:after="0"/>
        <w:jc w:val="both"/>
        <w:rPr>
          <w:rFonts w:ascii="Calibri" w:hAnsi="Calibri" w:cs="Calibri"/>
          <w:color w:val="000000" w:themeColor="text1"/>
        </w:rPr>
      </w:pPr>
    </w:p>
    <w:sectPr w:rsidR="00AF4901" w:rsidRPr="00AF49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7EBF" w14:textId="77777777" w:rsidR="00475A01" w:rsidRDefault="00475A01" w:rsidP="006554F2">
      <w:pPr>
        <w:spacing w:after="0" w:line="240" w:lineRule="auto"/>
      </w:pPr>
      <w:r>
        <w:separator/>
      </w:r>
    </w:p>
  </w:endnote>
  <w:endnote w:type="continuationSeparator" w:id="0">
    <w:p w14:paraId="5910D27D" w14:textId="77777777" w:rsidR="00475A01" w:rsidRDefault="00475A01" w:rsidP="0065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7344" w14:textId="77777777" w:rsidR="00475A01" w:rsidRDefault="00475A01" w:rsidP="006554F2">
      <w:pPr>
        <w:spacing w:after="0" w:line="240" w:lineRule="auto"/>
      </w:pPr>
      <w:r>
        <w:separator/>
      </w:r>
    </w:p>
  </w:footnote>
  <w:footnote w:type="continuationSeparator" w:id="0">
    <w:p w14:paraId="282C5B30" w14:textId="77777777" w:rsidR="00475A01" w:rsidRDefault="00475A01" w:rsidP="006554F2">
      <w:pPr>
        <w:spacing w:after="0" w:line="240" w:lineRule="auto"/>
      </w:pPr>
      <w:r>
        <w:continuationSeparator/>
      </w:r>
    </w:p>
  </w:footnote>
  <w:footnote w:id="1">
    <w:p w14:paraId="531BDC98" w14:textId="5CEFAC82" w:rsidR="009001AD" w:rsidRPr="00DD6D42" w:rsidRDefault="009001AD" w:rsidP="009001AD">
      <w:pPr>
        <w:spacing w:after="0"/>
        <w:jc w:val="both"/>
        <w:rPr>
          <w:rFonts w:ascii="Calibri" w:hAnsi="Calibri" w:cs="Calibri"/>
          <w:color w:val="000000" w:themeColor="text1"/>
        </w:rPr>
      </w:pPr>
      <w:r>
        <w:rPr>
          <w:rStyle w:val="Appelnotedebasdep"/>
        </w:rPr>
        <w:footnoteRef/>
      </w:r>
      <w:r>
        <w:t xml:space="preserve"> </w:t>
      </w:r>
      <w:r w:rsidRPr="009001AD">
        <w:rPr>
          <w:rFonts w:ascii="Calibri" w:hAnsi="Calibri" w:cs="Calibri"/>
          <w:color w:val="000000" w:themeColor="text1"/>
        </w:rPr>
        <w:t>« </w:t>
      </w:r>
      <w:r w:rsidR="001944A8">
        <w:rPr>
          <w:rFonts w:ascii="Calibri" w:hAnsi="Calibri" w:cs="Calibri"/>
          <w:color w:val="000000" w:themeColor="text1"/>
        </w:rPr>
        <w:t>E</w:t>
      </w:r>
      <w:r w:rsidRPr="009001AD">
        <w:rPr>
          <w:rFonts w:ascii="Calibri" w:hAnsi="Calibri" w:cs="Calibri"/>
          <w:color w:val="000000" w:themeColor="text1"/>
        </w:rPr>
        <w:t xml:space="preserve">mission » </w:t>
      </w:r>
      <w:r w:rsidRPr="00AF4901">
        <w:rPr>
          <w:rFonts w:ascii="Calibri" w:hAnsi="Calibri" w:cs="Calibri"/>
          <w:color w:val="000000" w:themeColor="text1"/>
        </w:rPr>
        <w:t>vise une émission nette (émission ou capture) de gaz à effet de serre vers l’atmosphère mesurée en kilos d’équivalent CO</w:t>
      </w:r>
      <w:r w:rsidRPr="00AF4901">
        <w:rPr>
          <w:rFonts w:ascii="Calibri" w:hAnsi="Calibri" w:cs="Calibri"/>
          <w:color w:val="000000" w:themeColor="text1"/>
          <w:vertAlign w:val="subscript"/>
        </w:rPr>
        <w:t xml:space="preserve">2 </w:t>
      </w:r>
      <w:r w:rsidRPr="00AF4901">
        <w:rPr>
          <w:rFonts w:ascii="Calibri" w:hAnsi="Calibri" w:cs="Calibri"/>
          <w:color w:val="000000" w:themeColor="text1"/>
        </w:rPr>
        <w:t xml:space="preserve">selon les principes des Nations Unies (GIEC et IPBES). </w:t>
      </w:r>
    </w:p>
  </w:footnote>
  <w:footnote w:id="2">
    <w:p w14:paraId="60EF0ADF" w14:textId="1DFBF483" w:rsidR="00DD6D42" w:rsidRPr="001944A8" w:rsidRDefault="00DD6D42" w:rsidP="001944A8">
      <w:pPr>
        <w:spacing w:after="0"/>
        <w:jc w:val="both"/>
        <w:rPr>
          <w:rFonts w:ascii="Calibri" w:hAnsi="Calibri" w:cs="Calibri"/>
          <w:color w:val="000000" w:themeColor="text1"/>
        </w:rPr>
      </w:pPr>
      <w:r>
        <w:rPr>
          <w:rStyle w:val="Appelnotedebasdep"/>
        </w:rPr>
        <w:footnoteRef/>
      </w:r>
      <w:r>
        <w:t xml:space="preserve"> </w:t>
      </w:r>
      <w:r w:rsidRPr="009001AD">
        <w:rPr>
          <w:rFonts w:ascii="Calibri" w:hAnsi="Calibri" w:cs="Calibri"/>
          <w:color w:val="000000" w:themeColor="text1"/>
        </w:rPr>
        <w:t>« </w:t>
      </w:r>
      <w:r w:rsidR="001944A8">
        <w:rPr>
          <w:rFonts w:ascii="Calibri" w:hAnsi="Calibri" w:cs="Calibri"/>
          <w:color w:val="000000" w:themeColor="text1"/>
        </w:rPr>
        <w:t>R</w:t>
      </w:r>
      <w:r w:rsidRPr="009001AD">
        <w:rPr>
          <w:rFonts w:ascii="Calibri" w:hAnsi="Calibri" w:cs="Calibri"/>
          <w:color w:val="000000" w:themeColor="text1"/>
        </w:rPr>
        <w:t>ègles comptables monétaires »</w:t>
      </w:r>
      <w:r w:rsidRPr="00AF4901">
        <w:rPr>
          <w:rFonts w:ascii="Calibri" w:hAnsi="Calibri" w:cs="Calibri"/>
          <w:color w:val="000000" w:themeColor="text1"/>
        </w:rPr>
        <w:t xml:space="preserve"> désigne les principes et bonnes pratiques comptables appliqués par l’entité (comptabilité générale et le cas échéant comptabilité analytique).</w:t>
      </w:r>
    </w:p>
  </w:footnote>
  <w:footnote w:id="3">
    <w:p w14:paraId="1BDE0918" w14:textId="51F20DCA" w:rsidR="00DD6D42" w:rsidRPr="002E4EE1" w:rsidRDefault="00DD6D42" w:rsidP="00DD6D42">
      <w:pPr>
        <w:spacing w:after="0"/>
        <w:jc w:val="both"/>
        <w:rPr>
          <w:rFonts w:ascii="Calibri" w:hAnsi="Calibri" w:cs="Calibri"/>
          <w:color w:val="000000" w:themeColor="text1"/>
        </w:rPr>
      </w:pPr>
      <w:r w:rsidRPr="009001AD">
        <w:rPr>
          <w:rStyle w:val="Appelnotedebasdep"/>
        </w:rPr>
        <w:footnoteRef/>
      </w:r>
      <w:r w:rsidRPr="009001AD">
        <w:t xml:space="preserve"> </w:t>
      </w:r>
      <w:r w:rsidRPr="009001AD">
        <w:rPr>
          <w:rFonts w:ascii="Calibri" w:hAnsi="Calibri" w:cs="Calibri"/>
          <w:color w:val="000000" w:themeColor="text1"/>
        </w:rPr>
        <w:t>« </w:t>
      </w:r>
      <w:r w:rsidR="001944A8">
        <w:rPr>
          <w:rFonts w:ascii="Calibri" w:hAnsi="Calibri" w:cs="Calibri"/>
          <w:color w:val="000000" w:themeColor="text1"/>
        </w:rPr>
        <w:t>M</w:t>
      </w:r>
      <w:r w:rsidRPr="009001AD">
        <w:rPr>
          <w:rFonts w:ascii="Calibri" w:hAnsi="Calibri" w:cs="Calibri"/>
          <w:color w:val="000000" w:themeColor="text1"/>
        </w:rPr>
        <w:t>esures nationales d’émission »</w:t>
      </w:r>
      <w:r w:rsidRPr="00AF4901">
        <w:rPr>
          <w:rFonts w:ascii="Calibri" w:hAnsi="Calibri" w:cs="Calibri"/>
          <w:color w:val="000000" w:themeColor="text1"/>
        </w:rPr>
        <w:t xml:space="preserve"> vise les statistiques nationales coordonnés par les Nations Unies (</w:t>
      </w:r>
      <w:r w:rsidRPr="00AF4901">
        <w:rPr>
          <w:rStyle w:val="Aucun"/>
          <w:rFonts w:ascii="Calibri" w:hAnsi="Calibri" w:cs="Calibri"/>
          <w:color w:val="000000" w:themeColor="text1"/>
        </w:rPr>
        <w:t xml:space="preserve">Air Emission </w:t>
      </w:r>
      <w:proofErr w:type="spellStart"/>
      <w:r w:rsidRPr="00AF4901">
        <w:rPr>
          <w:rStyle w:val="Aucun"/>
          <w:rFonts w:ascii="Calibri" w:hAnsi="Calibri" w:cs="Calibri"/>
          <w:color w:val="000000" w:themeColor="text1"/>
        </w:rPr>
        <w:t>Accounts</w:t>
      </w:r>
      <w:proofErr w:type="spellEnd"/>
      <w:r w:rsidRPr="00AF4901">
        <w:rPr>
          <w:rStyle w:val="Aucun"/>
          <w:rFonts w:ascii="Calibri" w:hAnsi="Calibri" w:cs="Calibri"/>
          <w:color w:val="000000" w:themeColor="text1"/>
        </w:rPr>
        <w:t xml:space="preserve"> du System of </w:t>
      </w:r>
      <w:proofErr w:type="spellStart"/>
      <w:r w:rsidRPr="00AF4901">
        <w:rPr>
          <w:rStyle w:val="Aucun"/>
          <w:rFonts w:ascii="Calibri" w:hAnsi="Calibri" w:cs="Calibri"/>
          <w:color w:val="000000" w:themeColor="text1"/>
        </w:rPr>
        <w:t>Environmental</w:t>
      </w:r>
      <w:proofErr w:type="spellEnd"/>
      <w:r w:rsidRPr="00AF4901">
        <w:rPr>
          <w:rStyle w:val="Aucun"/>
          <w:rFonts w:ascii="Calibri" w:hAnsi="Calibri" w:cs="Calibri"/>
          <w:color w:val="000000" w:themeColor="text1"/>
        </w:rPr>
        <w:t xml:space="preserve"> </w:t>
      </w:r>
      <w:proofErr w:type="spellStart"/>
      <w:r w:rsidRPr="00AF4901">
        <w:rPr>
          <w:rStyle w:val="Aucun"/>
          <w:rFonts w:ascii="Calibri" w:hAnsi="Calibri" w:cs="Calibri"/>
          <w:color w:val="000000" w:themeColor="text1"/>
        </w:rPr>
        <w:t>Economic</w:t>
      </w:r>
      <w:proofErr w:type="spellEnd"/>
      <w:r w:rsidRPr="00AF4901">
        <w:rPr>
          <w:rStyle w:val="Aucun"/>
          <w:rFonts w:ascii="Calibri" w:hAnsi="Calibri" w:cs="Calibri"/>
          <w:color w:val="000000" w:themeColor="text1"/>
        </w:rPr>
        <w:t xml:space="preserve"> </w:t>
      </w:r>
      <w:proofErr w:type="spellStart"/>
      <w:r w:rsidRPr="00AF4901">
        <w:rPr>
          <w:rStyle w:val="Aucun"/>
          <w:rFonts w:ascii="Calibri" w:hAnsi="Calibri" w:cs="Calibri"/>
          <w:color w:val="000000" w:themeColor="text1"/>
        </w:rPr>
        <w:t>Accounting</w:t>
      </w:r>
      <w:proofErr w:type="spellEnd"/>
      <w:r w:rsidRPr="00AF4901">
        <w:rPr>
          <w:rStyle w:val="Aucun"/>
          <w:rFonts w:ascii="Calibri" w:hAnsi="Calibri" w:cs="Calibri"/>
          <w:color w:val="000000" w:themeColor="text1"/>
        </w:rPr>
        <w:t xml:space="preserve">, </w:t>
      </w:r>
      <w:r w:rsidRPr="00AF4901">
        <w:rPr>
          <w:rFonts w:ascii="Calibri" w:hAnsi="Calibri" w:cs="Calibri"/>
          <w:color w:val="000000" w:themeColor="text1"/>
        </w:rPr>
        <w:t xml:space="preserve">transposant aux émissions de GES les règles des comptes nationaux </w:t>
      </w:r>
      <w:r w:rsidRPr="002E4EE1">
        <w:rPr>
          <w:rFonts w:ascii="Calibri" w:hAnsi="Calibri" w:cs="Calibri"/>
          <w:color w:val="000000" w:themeColor="text1"/>
        </w:rPr>
        <w:t>monétaires).</w:t>
      </w:r>
    </w:p>
  </w:footnote>
  <w:footnote w:id="4">
    <w:p w14:paraId="7793D0C3" w14:textId="707E019A" w:rsidR="002E4EE1" w:rsidRPr="002E4EE1" w:rsidRDefault="002E4EE1">
      <w:pPr>
        <w:pStyle w:val="Notedebasdepage"/>
        <w:rPr>
          <w:rFonts w:ascii="Calibri" w:hAnsi="Calibri" w:cs="Calibri"/>
          <w:sz w:val="24"/>
          <w:szCs w:val="24"/>
        </w:rPr>
      </w:pPr>
      <w:r w:rsidRPr="002E4EE1">
        <w:rPr>
          <w:rStyle w:val="Appelnotedebasdep"/>
          <w:rFonts w:ascii="Calibri" w:hAnsi="Calibri" w:cs="Calibri"/>
          <w:sz w:val="24"/>
          <w:szCs w:val="24"/>
        </w:rPr>
        <w:footnoteRef/>
      </w:r>
      <w:r w:rsidRPr="002E4EE1">
        <w:rPr>
          <w:rFonts w:ascii="Calibri" w:hAnsi="Calibri" w:cs="Calibri"/>
          <w:sz w:val="24"/>
          <w:szCs w:val="24"/>
        </w:rPr>
        <w:t xml:space="preserve"> </w:t>
      </w:r>
      <w:r w:rsidRPr="002E4EE1">
        <w:rPr>
          <w:rFonts w:ascii="Calibri" w:hAnsi="Calibri" w:cs="Calibri"/>
          <w:color w:val="000000" w:themeColor="text1"/>
          <w:sz w:val="24"/>
          <w:szCs w:val="24"/>
        </w:rPr>
        <w:t>Suggéré à 1,20 et relevé progressivement par les autorités comptables.</w:t>
      </w:r>
    </w:p>
  </w:footnote>
  <w:footnote w:id="5">
    <w:p w14:paraId="51E6F6FE" w14:textId="1233DB99" w:rsidR="00DD6D42" w:rsidRPr="00CD1AB5" w:rsidRDefault="00DD6D42" w:rsidP="00DD6D42">
      <w:pPr>
        <w:spacing w:after="0"/>
        <w:jc w:val="both"/>
        <w:rPr>
          <w:rFonts w:ascii="Calibri" w:hAnsi="Calibri" w:cs="Calibri"/>
          <w:color w:val="000000" w:themeColor="text1"/>
        </w:rPr>
      </w:pPr>
      <w:r w:rsidRPr="00CD1AB5">
        <w:rPr>
          <w:rStyle w:val="Appelnotedebasdep"/>
          <w:rFonts w:ascii="Calibri" w:hAnsi="Calibri" w:cs="Calibri"/>
        </w:rPr>
        <w:footnoteRef/>
      </w:r>
      <w:r w:rsidRPr="00CD1AB5">
        <w:rPr>
          <w:rFonts w:ascii="Calibri" w:hAnsi="Calibri" w:cs="Calibri"/>
        </w:rPr>
        <w:t xml:space="preserve"> </w:t>
      </w:r>
      <w:r w:rsidR="006C36C9" w:rsidRPr="00CD1AB5">
        <w:rPr>
          <w:rFonts w:ascii="Calibri" w:hAnsi="Calibri" w:cs="Calibri"/>
          <w:color w:val="000000" w:themeColor="text1"/>
        </w:rPr>
        <w:t>N</w:t>
      </w:r>
      <w:r w:rsidRPr="00CD1AB5">
        <w:rPr>
          <w:rFonts w:ascii="Calibri" w:hAnsi="Calibri" w:cs="Calibri"/>
          <w:color w:val="000000" w:themeColor="text1"/>
        </w:rPr>
        <w:t xml:space="preserve">ormes ISO des ACV, </w:t>
      </w:r>
      <w:r w:rsidR="001944A8" w:rsidRPr="00CD1AB5">
        <w:rPr>
          <w:rFonts w:ascii="Calibri" w:hAnsi="Calibri" w:cs="Calibri"/>
          <w:color w:val="000000" w:themeColor="text1"/>
        </w:rPr>
        <w:t xml:space="preserve">Protocoles </w:t>
      </w:r>
      <w:r w:rsidRPr="00CD1AB5">
        <w:rPr>
          <w:rFonts w:ascii="Calibri" w:hAnsi="Calibri" w:cs="Calibri"/>
          <w:color w:val="000000" w:themeColor="text1"/>
        </w:rPr>
        <w:t xml:space="preserve">GHG, Bilan Carbone, etc…, pour </w:t>
      </w:r>
      <w:r w:rsidR="001944A8" w:rsidRPr="00CD1AB5">
        <w:rPr>
          <w:rFonts w:ascii="Calibri" w:hAnsi="Calibri" w:cs="Calibri"/>
          <w:color w:val="000000" w:themeColor="text1"/>
        </w:rPr>
        <w:t xml:space="preserve">la partie </w:t>
      </w:r>
      <w:r w:rsidRPr="00CD1AB5">
        <w:rPr>
          <w:rFonts w:ascii="Calibri" w:hAnsi="Calibri" w:cs="Calibri"/>
          <w:color w:val="000000" w:themeColor="text1"/>
        </w:rPr>
        <w:t>concern</w:t>
      </w:r>
      <w:r w:rsidR="001944A8" w:rsidRPr="00CD1AB5">
        <w:rPr>
          <w:rFonts w:ascii="Calibri" w:hAnsi="Calibri" w:cs="Calibri"/>
          <w:color w:val="000000" w:themeColor="text1"/>
        </w:rPr>
        <w:t>ant</w:t>
      </w:r>
      <w:r w:rsidRPr="00CD1AB5">
        <w:rPr>
          <w:rFonts w:ascii="Calibri" w:hAnsi="Calibri" w:cs="Calibri"/>
          <w:color w:val="000000" w:themeColor="text1"/>
        </w:rPr>
        <w:t xml:space="preserve"> les émissions directes.</w:t>
      </w:r>
    </w:p>
    <w:p w14:paraId="6CD51910" w14:textId="249E535B" w:rsidR="00DD6D42" w:rsidRDefault="00DD6D4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56AD6"/>
    <w:multiLevelType w:val="hybridMultilevel"/>
    <w:tmpl w:val="8A98716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4162DD"/>
    <w:multiLevelType w:val="hybridMultilevel"/>
    <w:tmpl w:val="DA2C7F78"/>
    <w:lvl w:ilvl="0" w:tplc="5A26C7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60673E"/>
    <w:multiLevelType w:val="hybridMultilevel"/>
    <w:tmpl w:val="F61C2924"/>
    <w:lvl w:ilvl="0" w:tplc="A55EA69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920A32"/>
    <w:multiLevelType w:val="hybridMultilevel"/>
    <w:tmpl w:val="6BDC50CE"/>
    <w:lvl w:ilvl="0" w:tplc="028CFA9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0E7DFA"/>
    <w:multiLevelType w:val="hybridMultilevel"/>
    <w:tmpl w:val="5F780F62"/>
    <w:lvl w:ilvl="0" w:tplc="778CADA0">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32604F"/>
    <w:multiLevelType w:val="hybridMultilevel"/>
    <w:tmpl w:val="8356235A"/>
    <w:lvl w:ilvl="0" w:tplc="E25ED3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F37D29"/>
    <w:multiLevelType w:val="hybridMultilevel"/>
    <w:tmpl w:val="AC00211E"/>
    <w:lvl w:ilvl="0" w:tplc="040C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FB19A8"/>
    <w:multiLevelType w:val="hybridMultilevel"/>
    <w:tmpl w:val="CB52B8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F321356"/>
    <w:multiLevelType w:val="hybridMultilevel"/>
    <w:tmpl w:val="25383D3E"/>
    <w:lvl w:ilvl="0" w:tplc="A55EA69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7C0D47"/>
    <w:multiLevelType w:val="hybridMultilevel"/>
    <w:tmpl w:val="B07C3BE6"/>
    <w:lvl w:ilvl="0" w:tplc="D89EC19A">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E80585"/>
    <w:multiLevelType w:val="hybridMultilevel"/>
    <w:tmpl w:val="2C24A84E"/>
    <w:lvl w:ilvl="0" w:tplc="040C000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EA22DCA"/>
    <w:multiLevelType w:val="hybridMultilevel"/>
    <w:tmpl w:val="3048B768"/>
    <w:lvl w:ilvl="0" w:tplc="E25ED3C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D00022"/>
    <w:multiLevelType w:val="hybridMultilevel"/>
    <w:tmpl w:val="9E5E1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19F5EA3"/>
    <w:multiLevelType w:val="hybridMultilevel"/>
    <w:tmpl w:val="B0123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7A49BC"/>
    <w:multiLevelType w:val="hybridMultilevel"/>
    <w:tmpl w:val="DCBEDE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CD7D46"/>
    <w:multiLevelType w:val="hybridMultilevel"/>
    <w:tmpl w:val="49DCF7AE"/>
    <w:lvl w:ilvl="0" w:tplc="1AC6A1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78062796">
    <w:abstractNumId w:val="13"/>
  </w:num>
  <w:num w:numId="2" w16cid:durableId="368340611">
    <w:abstractNumId w:val="14"/>
  </w:num>
  <w:num w:numId="3" w16cid:durableId="826434878">
    <w:abstractNumId w:val="5"/>
  </w:num>
  <w:num w:numId="4" w16cid:durableId="1708332844">
    <w:abstractNumId w:val="11"/>
  </w:num>
  <w:num w:numId="5" w16cid:durableId="675546270">
    <w:abstractNumId w:val="12"/>
  </w:num>
  <w:num w:numId="6" w16cid:durableId="189728207">
    <w:abstractNumId w:val="15"/>
  </w:num>
  <w:num w:numId="7" w16cid:durableId="1891189998">
    <w:abstractNumId w:val="1"/>
  </w:num>
  <w:num w:numId="8" w16cid:durableId="1582566065">
    <w:abstractNumId w:val="6"/>
  </w:num>
  <w:num w:numId="9" w16cid:durableId="2132085673">
    <w:abstractNumId w:val="10"/>
  </w:num>
  <w:num w:numId="10" w16cid:durableId="989359706">
    <w:abstractNumId w:val="8"/>
  </w:num>
  <w:num w:numId="11" w16cid:durableId="1974600340">
    <w:abstractNumId w:val="2"/>
  </w:num>
  <w:num w:numId="12" w16cid:durableId="1560704072">
    <w:abstractNumId w:val="0"/>
  </w:num>
  <w:num w:numId="13" w16cid:durableId="2088266106">
    <w:abstractNumId w:val="7"/>
  </w:num>
  <w:num w:numId="14" w16cid:durableId="83066384">
    <w:abstractNumId w:val="3"/>
  </w:num>
  <w:num w:numId="15" w16cid:durableId="1259942430">
    <w:abstractNumId w:val="9"/>
  </w:num>
  <w:num w:numId="16" w16cid:durableId="173308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AF"/>
    <w:rsid w:val="00020C31"/>
    <w:rsid w:val="0003697E"/>
    <w:rsid w:val="00047F15"/>
    <w:rsid w:val="00060D99"/>
    <w:rsid w:val="00074127"/>
    <w:rsid w:val="000770E5"/>
    <w:rsid w:val="000860FA"/>
    <w:rsid w:val="000B2AA6"/>
    <w:rsid w:val="000B50C0"/>
    <w:rsid w:val="000C7265"/>
    <w:rsid w:val="000D338A"/>
    <w:rsid w:val="000D4D8D"/>
    <w:rsid w:val="00121711"/>
    <w:rsid w:val="00127658"/>
    <w:rsid w:val="001403FB"/>
    <w:rsid w:val="0018354D"/>
    <w:rsid w:val="00186A63"/>
    <w:rsid w:val="0019387E"/>
    <w:rsid w:val="001944A8"/>
    <w:rsid w:val="001D4903"/>
    <w:rsid w:val="001E6FA8"/>
    <w:rsid w:val="001E6FD3"/>
    <w:rsid w:val="001F12B4"/>
    <w:rsid w:val="002159D4"/>
    <w:rsid w:val="00223336"/>
    <w:rsid w:val="0024257F"/>
    <w:rsid w:val="0025512C"/>
    <w:rsid w:val="002817AD"/>
    <w:rsid w:val="0029170A"/>
    <w:rsid w:val="002A07ED"/>
    <w:rsid w:val="002B0ED1"/>
    <w:rsid w:val="002B7653"/>
    <w:rsid w:val="002C1FC2"/>
    <w:rsid w:val="002D48C0"/>
    <w:rsid w:val="002E45E6"/>
    <w:rsid w:val="002E4EE1"/>
    <w:rsid w:val="002E784B"/>
    <w:rsid w:val="002F0968"/>
    <w:rsid w:val="00312714"/>
    <w:rsid w:val="0031414C"/>
    <w:rsid w:val="00320CA9"/>
    <w:rsid w:val="00322D97"/>
    <w:rsid w:val="003259D8"/>
    <w:rsid w:val="00360DB5"/>
    <w:rsid w:val="00372197"/>
    <w:rsid w:val="00383EFB"/>
    <w:rsid w:val="0038602E"/>
    <w:rsid w:val="003A5C08"/>
    <w:rsid w:val="003B5306"/>
    <w:rsid w:val="00446198"/>
    <w:rsid w:val="004570B0"/>
    <w:rsid w:val="004603D1"/>
    <w:rsid w:val="00461F40"/>
    <w:rsid w:val="00475A01"/>
    <w:rsid w:val="004A053D"/>
    <w:rsid w:val="004B4523"/>
    <w:rsid w:val="004E18BB"/>
    <w:rsid w:val="00500EC3"/>
    <w:rsid w:val="0050185B"/>
    <w:rsid w:val="00514824"/>
    <w:rsid w:val="00525316"/>
    <w:rsid w:val="005554F4"/>
    <w:rsid w:val="00556EE7"/>
    <w:rsid w:val="00594A90"/>
    <w:rsid w:val="005A1655"/>
    <w:rsid w:val="005D659A"/>
    <w:rsid w:val="005D7597"/>
    <w:rsid w:val="005E3A30"/>
    <w:rsid w:val="00624FBC"/>
    <w:rsid w:val="00632A01"/>
    <w:rsid w:val="00641A37"/>
    <w:rsid w:val="006554F2"/>
    <w:rsid w:val="006712B2"/>
    <w:rsid w:val="00680DFC"/>
    <w:rsid w:val="00682BBD"/>
    <w:rsid w:val="006906B6"/>
    <w:rsid w:val="006B14E3"/>
    <w:rsid w:val="006C36C9"/>
    <w:rsid w:val="006E2CD1"/>
    <w:rsid w:val="006F602A"/>
    <w:rsid w:val="00706489"/>
    <w:rsid w:val="00713D15"/>
    <w:rsid w:val="00720D35"/>
    <w:rsid w:val="00774DCE"/>
    <w:rsid w:val="007914CB"/>
    <w:rsid w:val="007B41B5"/>
    <w:rsid w:val="007B79B5"/>
    <w:rsid w:val="007D1E1B"/>
    <w:rsid w:val="007D2D6E"/>
    <w:rsid w:val="007F05E7"/>
    <w:rsid w:val="008111E1"/>
    <w:rsid w:val="008154AE"/>
    <w:rsid w:val="0082362B"/>
    <w:rsid w:val="00840EBD"/>
    <w:rsid w:val="00842B98"/>
    <w:rsid w:val="00856F0A"/>
    <w:rsid w:val="0086078E"/>
    <w:rsid w:val="00861BB8"/>
    <w:rsid w:val="00862620"/>
    <w:rsid w:val="008631E7"/>
    <w:rsid w:val="0088649A"/>
    <w:rsid w:val="0088673F"/>
    <w:rsid w:val="00894F26"/>
    <w:rsid w:val="008A4852"/>
    <w:rsid w:val="008B15D3"/>
    <w:rsid w:val="008C10CA"/>
    <w:rsid w:val="008C3BC2"/>
    <w:rsid w:val="008C7166"/>
    <w:rsid w:val="008E2563"/>
    <w:rsid w:val="009001AD"/>
    <w:rsid w:val="00911823"/>
    <w:rsid w:val="00920A0E"/>
    <w:rsid w:val="0093298D"/>
    <w:rsid w:val="0093607A"/>
    <w:rsid w:val="00943171"/>
    <w:rsid w:val="00964E66"/>
    <w:rsid w:val="0097678E"/>
    <w:rsid w:val="0099004C"/>
    <w:rsid w:val="00994B5D"/>
    <w:rsid w:val="00996753"/>
    <w:rsid w:val="009B35CA"/>
    <w:rsid w:val="009B35FB"/>
    <w:rsid w:val="009C58D0"/>
    <w:rsid w:val="009C6AF9"/>
    <w:rsid w:val="009D16BF"/>
    <w:rsid w:val="009D2D2A"/>
    <w:rsid w:val="009D5AFF"/>
    <w:rsid w:val="009E7AA0"/>
    <w:rsid w:val="009F5169"/>
    <w:rsid w:val="00A25A5F"/>
    <w:rsid w:val="00A30A32"/>
    <w:rsid w:val="00A512A5"/>
    <w:rsid w:val="00A65351"/>
    <w:rsid w:val="00A843E3"/>
    <w:rsid w:val="00AA26C2"/>
    <w:rsid w:val="00AB71D1"/>
    <w:rsid w:val="00AC426B"/>
    <w:rsid w:val="00AD0B7D"/>
    <w:rsid w:val="00AD15C1"/>
    <w:rsid w:val="00AE0279"/>
    <w:rsid w:val="00AE7549"/>
    <w:rsid w:val="00AF0D16"/>
    <w:rsid w:val="00AF4901"/>
    <w:rsid w:val="00AF6AA4"/>
    <w:rsid w:val="00B02157"/>
    <w:rsid w:val="00B030AF"/>
    <w:rsid w:val="00B15737"/>
    <w:rsid w:val="00B27CBC"/>
    <w:rsid w:val="00B30652"/>
    <w:rsid w:val="00B31B1C"/>
    <w:rsid w:val="00B62FA6"/>
    <w:rsid w:val="00B7371D"/>
    <w:rsid w:val="00B76C4B"/>
    <w:rsid w:val="00B779D0"/>
    <w:rsid w:val="00B9246D"/>
    <w:rsid w:val="00BA2529"/>
    <w:rsid w:val="00C10A0C"/>
    <w:rsid w:val="00C1420C"/>
    <w:rsid w:val="00C17BBB"/>
    <w:rsid w:val="00C342E1"/>
    <w:rsid w:val="00C67EE2"/>
    <w:rsid w:val="00CD1AB5"/>
    <w:rsid w:val="00CD57EB"/>
    <w:rsid w:val="00CE02A3"/>
    <w:rsid w:val="00D21115"/>
    <w:rsid w:val="00D64A9E"/>
    <w:rsid w:val="00DB28FB"/>
    <w:rsid w:val="00DB72AF"/>
    <w:rsid w:val="00DC0CF4"/>
    <w:rsid w:val="00DD6D42"/>
    <w:rsid w:val="00DF5CE3"/>
    <w:rsid w:val="00DF76E4"/>
    <w:rsid w:val="00E10DF7"/>
    <w:rsid w:val="00E3370F"/>
    <w:rsid w:val="00E34F85"/>
    <w:rsid w:val="00E625A2"/>
    <w:rsid w:val="00E73FCE"/>
    <w:rsid w:val="00E8114F"/>
    <w:rsid w:val="00E85A0E"/>
    <w:rsid w:val="00E95935"/>
    <w:rsid w:val="00EB693E"/>
    <w:rsid w:val="00EC17BF"/>
    <w:rsid w:val="00EC1E4D"/>
    <w:rsid w:val="00EC57C7"/>
    <w:rsid w:val="00EC725A"/>
    <w:rsid w:val="00F045C7"/>
    <w:rsid w:val="00F341C0"/>
    <w:rsid w:val="00F50468"/>
    <w:rsid w:val="00F60C1D"/>
    <w:rsid w:val="00FA3CEC"/>
    <w:rsid w:val="00FE49CC"/>
    <w:rsid w:val="00FE5CCD"/>
    <w:rsid w:val="00FF3C2E"/>
    <w:rsid w:val="00FF6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83A6"/>
  <w15:chartTrackingRefBased/>
  <w15:docId w15:val="{CC4A3485-237C-4300-ACCB-731C14F8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B7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B7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B72A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B72A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DB72A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B72A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B72A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B72A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B72A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72A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B72A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B72A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B72AF"/>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DB72A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B72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B72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B72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B72AF"/>
    <w:rPr>
      <w:rFonts w:eastAsiaTheme="majorEastAsia" w:cstheme="majorBidi"/>
      <w:color w:val="272727" w:themeColor="text1" w:themeTint="D8"/>
    </w:rPr>
  </w:style>
  <w:style w:type="paragraph" w:styleId="Titre">
    <w:name w:val="Title"/>
    <w:basedOn w:val="Normal"/>
    <w:next w:val="Normal"/>
    <w:link w:val="TitreCar"/>
    <w:uiPriority w:val="10"/>
    <w:qFormat/>
    <w:rsid w:val="00DB7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72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B72A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B72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B72AF"/>
    <w:pPr>
      <w:spacing w:before="160"/>
      <w:jc w:val="center"/>
    </w:pPr>
    <w:rPr>
      <w:i/>
      <w:iCs/>
      <w:color w:val="404040" w:themeColor="text1" w:themeTint="BF"/>
    </w:rPr>
  </w:style>
  <w:style w:type="character" w:customStyle="1" w:styleId="CitationCar">
    <w:name w:val="Citation Car"/>
    <w:basedOn w:val="Policepardfaut"/>
    <w:link w:val="Citation"/>
    <w:uiPriority w:val="29"/>
    <w:rsid w:val="00DB72AF"/>
    <w:rPr>
      <w:i/>
      <w:iCs/>
      <w:color w:val="404040" w:themeColor="text1" w:themeTint="BF"/>
    </w:rPr>
  </w:style>
  <w:style w:type="paragraph" w:styleId="Paragraphedeliste">
    <w:name w:val="List Paragraph"/>
    <w:basedOn w:val="Normal"/>
    <w:uiPriority w:val="34"/>
    <w:qFormat/>
    <w:rsid w:val="00DB72AF"/>
    <w:pPr>
      <w:ind w:left="720"/>
      <w:contextualSpacing/>
    </w:pPr>
  </w:style>
  <w:style w:type="character" w:styleId="Accentuationintense">
    <w:name w:val="Intense Emphasis"/>
    <w:basedOn w:val="Policepardfaut"/>
    <w:uiPriority w:val="21"/>
    <w:qFormat/>
    <w:rsid w:val="00DB72AF"/>
    <w:rPr>
      <w:i/>
      <w:iCs/>
      <w:color w:val="0F4761" w:themeColor="accent1" w:themeShade="BF"/>
    </w:rPr>
  </w:style>
  <w:style w:type="paragraph" w:styleId="Citationintense">
    <w:name w:val="Intense Quote"/>
    <w:basedOn w:val="Normal"/>
    <w:next w:val="Normal"/>
    <w:link w:val="CitationintenseCar"/>
    <w:uiPriority w:val="30"/>
    <w:qFormat/>
    <w:rsid w:val="00DB7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B72AF"/>
    <w:rPr>
      <w:i/>
      <w:iCs/>
      <w:color w:val="0F4761" w:themeColor="accent1" w:themeShade="BF"/>
    </w:rPr>
  </w:style>
  <w:style w:type="character" w:styleId="Rfrenceintense">
    <w:name w:val="Intense Reference"/>
    <w:basedOn w:val="Policepardfaut"/>
    <w:uiPriority w:val="32"/>
    <w:qFormat/>
    <w:rsid w:val="00DB72AF"/>
    <w:rPr>
      <w:b/>
      <w:bCs/>
      <w:smallCaps/>
      <w:color w:val="0F4761" w:themeColor="accent1" w:themeShade="BF"/>
      <w:spacing w:val="5"/>
    </w:rPr>
  </w:style>
  <w:style w:type="paragraph" w:customStyle="1" w:styleId="pf0">
    <w:name w:val="pf0"/>
    <w:basedOn w:val="Normal"/>
    <w:rsid w:val="008C7166"/>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cf01">
    <w:name w:val="cf01"/>
    <w:basedOn w:val="Policepardfaut"/>
    <w:rsid w:val="008C7166"/>
    <w:rPr>
      <w:rFonts w:ascii="Segoe UI" w:hAnsi="Segoe UI" w:cs="Segoe UI" w:hint="default"/>
      <w:sz w:val="18"/>
      <w:szCs w:val="18"/>
    </w:rPr>
  </w:style>
  <w:style w:type="paragraph" w:styleId="Commentaire">
    <w:name w:val="annotation text"/>
    <w:basedOn w:val="Normal"/>
    <w:link w:val="CommentaireCar"/>
    <w:uiPriority w:val="99"/>
    <w:unhideWhenUsed/>
    <w:rsid w:val="00F50468"/>
    <w:pPr>
      <w:spacing w:after="0" w:line="240" w:lineRule="auto"/>
    </w:pPr>
    <w:rPr>
      <w:rFonts w:ascii="Arial" w:eastAsia="Arial" w:hAnsi="Arial" w:cs="Arial"/>
      <w:kern w:val="0"/>
      <w:sz w:val="20"/>
      <w:szCs w:val="20"/>
      <w:lang w:val="en"/>
      <w14:ligatures w14:val="none"/>
    </w:rPr>
  </w:style>
  <w:style w:type="character" w:customStyle="1" w:styleId="CommentaireCar">
    <w:name w:val="Commentaire Car"/>
    <w:basedOn w:val="Policepardfaut"/>
    <w:link w:val="Commentaire"/>
    <w:uiPriority w:val="99"/>
    <w:rsid w:val="00F50468"/>
    <w:rPr>
      <w:rFonts w:ascii="Arial" w:eastAsia="Arial" w:hAnsi="Arial" w:cs="Arial"/>
      <w:kern w:val="0"/>
      <w:sz w:val="20"/>
      <w:szCs w:val="20"/>
      <w:lang w:val="en"/>
      <w14:ligatures w14:val="none"/>
    </w:rPr>
  </w:style>
  <w:style w:type="character" w:styleId="Marquedecommentaire">
    <w:name w:val="annotation reference"/>
    <w:basedOn w:val="Policepardfaut"/>
    <w:uiPriority w:val="99"/>
    <w:semiHidden/>
    <w:unhideWhenUsed/>
    <w:rsid w:val="00F50468"/>
    <w:rPr>
      <w:sz w:val="16"/>
      <w:szCs w:val="16"/>
    </w:rPr>
  </w:style>
  <w:style w:type="paragraph" w:styleId="Sansinterligne">
    <w:name w:val="No Spacing"/>
    <w:uiPriority w:val="1"/>
    <w:qFormat/>
    <w:rsid w:val="007F05E7"/>
    <w:pPr>
      <w:spacing w:after="0" w:line="240" w:lineRule="auto"/>
    </w:pPr>
  </w:style>
  <w:style w:type="character" w:customStyle="1" w:styleId="Aucun">
    <w:name w:val="Aucun"/>
    <w:rsid w:val="009C58D0"/>
    <w:rPr>
      <w:lang w:val="fr-FR"/>
    </w:rPr>
  </w:style>
  <w:style w:type="paragraph" w:styleId="Notedebasdepage">
    <w:name w:val="footnote text"/>
    <w:basedOn w:val="Normal"/>
    <w:link w:val="NotedebasdepageCar"/>
    <w:uiPriority w:val="99"/>
    <w:semiHidden/>
    <w:unhideWhenUsed/>
    <w:rsid w:val="006554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54F2"/>
    <w:rPr>
      <w:sz w:val="20"/>
      <w:szCs w:val="20"/>
    </w:rPr>
  </w:style>
  <w:style w:type="character" w:styleId="Appelnotedebasdep">
    <w:name w:val="footnote reference"/>
    <w:basedOn w:val="Policepardfaut"/>
    <w:uiPriority w:val="99"/>
    <w:semiHidden/>
    <w:unhideWhenUsed/>
    <w:rsid w:val="006554F2"/>
    <w:rPr>
      <w:vertAlign w:val="superscript"/>
    </w:rPr>
  </w:style>
  <w:style w:type="paragraph" w:styleId="NormalWeb">
    <w:name w:val="Normal (Web)"/>
    <w:basedOn w:val="Normal"/>
    <w:uiPriority w:val="99"/>
    <w:unhideWhenUsed/>
    <w:rsid w:val="006E2CD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6E2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88465">
      <w:bodyDiv w:val="1"/>
      <w:marLeft w:val="0"/>
      <w:marRight w:val="0"/>
      <w:marTop w:val="0"/>
      <w:marBottom w:val="0"/>
      <w:divBdr>
        <w:top w:val="none" w:sz="0" w:space="0" w:color="auto"/>
        <w:left w:val="none" w:sz="0" w:space="0" w:color="auto"/>
        <w:bottom w:val="none" w:sz="0" w:space="0" w:color="auto"/>
        <w:right w:val="none" w:sz="0" w:space="0" w:color="auto"/>
      </w:divBdr>
    </w:div>
    <w:div w:id="183981642">
      <w:bodyDiv w:val="1"/>
      <w:marLeft w:val="0"/>
      <w:marRight w:val="0"/>
      <w:marTop w:val="0"/>
      <w:marBottom w:val="0"/>
      <w:divBdr>
        <w:top w:val="none" w:sz="0" w:space="0" w:color="auto"/>
        <w:left w:val="none" w:sz="0" w:space="0" w:color="auto"/>
        <w:bottom w:val="none" w:sz="0" w:space="0" w:color="auto"/>
        <w:right w:val="none" w:sz="0" w:space="0" w:color="auto"/>
      </w:divBdr>
    </w:div>
    <w:div w:id="306399793">
      <w:bodyDiv w:val="1"/>
      <w:marLeft w:val="0"/>
      <w:marRight w:val="0"/>
      <w:marTop w:val="0"/>
      <w:marBottom w:val="0"/>
      <w:divBdr>
        <w:top w:val="none" w:sz="0" w:space="0" w:color="auto"/>
        <w:left w:val="none" w:sz="0" w:space="0" w:color="auto"/>
        <w:bottom w:val="none" w:sz="0" w:space="0" w:color="auto"/>
        <w:right w:val="none" w:sz="0" w:space="0" w:color="auto"/>
      </w:divBdr>
    </w:div>
    <w:div w:id="550073441">
      <w:bodyDiv w:val="1"/>
      <w:marLeft w:val="0"/>
      <w:marRight w:val="0"/>
      <w:marTop w:val="0"/>
      <w:marBottom w:val="0"/>
      <w:divBdr>
        <w:top w:val="none" w:sz="0" w:space="0" w:color="auto"/>
        <w:left w:val="none" w:sz="0" w:space="0" w:color="auto"/>
        <w:bottom w:val="none" w:sz="0" w:space="0" w:color="auto"/>
        <w:right w:val="none" w:sz="0" w:space="0" w:color="auto"/>
      </w:divBdr>
    </w:div>
    <w:div w:id="755247025">
      <w:bodyDiv w:val="1"/>
      <w:marLeft w:val="0"/>
      <w:marRight w:val="0"/>
      <w:marTop w:val="0"/>
      <w:marBottom w:val="0"/>
      <w:divBdr>
        <w:top w:val="none" w:sz="0" w:space="0" w:color="auto"/>
        <w:left w:val="none" w:sz="0" w:space="0" w:color="auto"/>
        <w:bottom w:val="none" w:sz="0" w:space="0" w:color="auto"/>
        <w:right w:val="none" w:sz="0" w:space="0" w:color="auto"/>
      </w:divBdr>
    </w:div>
    <w:div w:id="848131634">
      <w:bodyDiv w:val="1"/>
      <w:marLeft w:val="0"/>
      <w:marRight w:val="0"/>
      <w:marTop w:val="0"/>
      <w:marBottom w:val="0"/>
      <w:divBdr>
        <w:top w:val="none" w:sz="0" w:space="0" w:color="auto"/>
        <w:left w:val="none" w:sz="0" w:space="0" w:color="auto"/>
        <w:bottom w:val="none" w:sz="0" w:space="0" w:color="auto"/>
        <w:right w:val="none" w:sz="0" w:space="0" w:color="auto"/>
      </w:divBdr>
    </w:div>
    <w:div w:id="937104175">
      <w:bodyDiv w:val="1"/>
      <w:marLeft w:val="0"/>
      <w:marRight w:val="0"/>
      <w:marTop w:val="0"/>
      <w:marBottom w:val="0"/>
      <w:divBdr>
        <w:top w:val="none" w:sz="0" w:space="0" w:color="auto"/>
        <w:left w:val="none" w:sz="0" w:space="0" w:color="auto"/>
        <w:bottom w:val="none" w:sz="0" w:space="0" w:color="auto"/>
        <w:right w:val="none" w:sz="0" w:space="0" w:color="auto"/>
      </w:divBdr>
    </w:div>
    <w:div w:id="987589189">
      <w:bodyDiv w:val="1"/>
      <w:marLeft w:val="0"/>
      <w:marRight w:val="0"/>
      <w:marTop w:val="0"/>
      <w:marBottom w:val="0"/>
      <w:divBdr>
        <w:top w:val="none" w:sz="0" w:space="0" w:color="auto"/>
        <w:left w:val="none" w:sz="0" w:space="0" w:color="auto"/>
        <w:bottom w:val="none" w:sz="0" w:space="0" w:color="auto"/>
        <w:right w:val="none" w:sz="0" w:space="0" w:color="auto"/>
      </w:divBdr>
    </w:div>
    <w:div w:id="997997360">
      <w:bodyDiv w:val="1"/>
      <w:marLeft w:val="0"/>
      <w:marRight w:val="0"/>
      <w:marTop w:val="0"/>
      <w:marBottom w:val="0"/>
      <w:divBdr>
        <w:top w:val="none" w:sz="0" w:space="0" w:color="auto"/>
        <w:left w:val="none" w:sz="0" w:space="0" w:color="auto"/>
        <w:bottom w:val="none" w:sz="0" w:space="0" w:color="auto"/>
        <w:right w:val="none" w:sz="0" w:space="0" w:color="auto"/>
      </w:divBdr>
    </w:div>
    <w:div w:id="1035233247">
      <w:bodyDiv w:val="1"/>
      <w:marLeft w:val="0"/>
      <w:marRight w:val="0"/>
      <w:marTop w:val="0"/>
      <w:marBottom w:val="0"/>
      <w:divBdr>
        <w:top w:val="none" w:sz="0" w:space="0" w:color="auto"/>
        <w:left w:val="none" w:sz="0" w:space="0" w:color="auto"/>
        <w:bottom w:val="none" w:sz="0" w:space="0" w:color="auto"/>
        <w:right w:val="none" w:sz="0" w:space="0" w:color="auto"/>
      </w:divBdr>
    </w:div>
    <w:div w:id="1040279804">
      <w:bodyDiv w:val="1"/>
      <w:marLeft w:val="0"/>
      <w:marRight w:val="0"/>
      <w:marTop w:val="0"/>
      <w:marBottom w:val="0"/>
      <w:divBdr>
        <w:top w:val="none" w:sz="0" w:space="0" w:color="auto"/>
        <w:left w:val="none" w:sz="0" w:space="0" w:color="auto"/>
        <w:bottom w:val="none" w:sz="0" w:space="0" w:color="auto"/>
        <w:right w:val="none" w:sz="0" w:space="0" w:color="auto"/>
      </w:divBdr>
    </w:div>
    <w:div w:id="1053306356">
      <w:bodyDiv w:val="1"/>
      <w:marLeft w:val="0"/>
      <w:marRight w:val="0"/>
      <w:marTop w:val="0"/>
      <w:marBottom w:val="0"/>
      <w:divBdr>
        <w:top w:val="none" w:sz="0" w:space="0" w:color="auto"/>
        <w:left w:val="none" w:sz="0" w:space="0" w:color="auto"/>
        <w:bottom w:val="none" w:sz="0" w:space="0" w:color="auto"/>
        <w:right w:val="none" w:sz="0" w:space="0" w:color="auto"/>
      </w:divBdr>
    </w:div>
    <w:div w:id="1179271444">
      <w:bodyDiv w:val="1"/>
      <w:marLeft w:val="0"/>
      <w:marRight w:val="0"/>
      <w:marTop w:val="0"/>
      <w:marBottom w:val="0"/>
      <w:divBdr>
        <w:top w:val="none" w:sz="0" w:space="0" w:color="auto"/>
        <w:left w:val="none" w:sz="0" w:space="0" w:color="auto"/>
        <w:bottom w:val="none" w:sz="0" w:space="0" w:color="auto"/>
        <w:right w:val="none" w:sz="0" w:space="0" w:color="auto"/>
      </w:divBdr>
    </w:div>
    <w:div w:id="1252855472">
      <w:bodyDiv w:val="1"/>
      <w:marLeft w:val="0"/>
      <w:marRight w:val="0"/>
      <w:marTop w:val="0"/>
      <w:marBottom w:val="0"/>
      <w:divBdr>
        <w:top w:val="none" w:sz="0" w:space="0" w:color="auto"/>
        <w:left w:val="none" w:sz="0" w:space="0" w:color="auto"/>
        <w:bottom w:val="none" w:sz="0" w:space="0" w:color="auto"/>
        <w:right w:val="none" w:sz="0" w:space="0" w:color="auto"/>
      </w:divBdr>
    </w:div>
    <w:div w:id="1347441149">
      <w:bodyDiv w:val="1"/>
      <w:marLeft w:val="0"/>
      <w:marRight w:val="0"/>
      <w:marTop w:val="0"/>
      <w:marBottom w:val="0"/>
      <w:divBdr>
        <w:top w:val="none" w:sz="0" w:space="0" w:color="auto"/>
        <w:left w:val="none" w:sz="0" w:space="0" w:color="auto"/>
        <w:bottom w:val="none" w:sz="0" w:space="0" w:color="auto"/>
        <w:right w:val="none" w:sz="0" w:space="0" w:color="auto"/>
      </w:divBdr>
    </w:div>
    <w:div w:id="1390306645">
      <w:bodyDiv w:val="1"/>
      <w:marLeft w:val="0"/>
      <w:marRight w:val="0"/>
      <w:marTop w:val="0"/>
      <w:marBottom w:val="0"/>
      <w:divBdr>
        <w:top w:val="none" w:sz="0" w:space="0" w:color="auto"/>
        <w:left w:val="none" w:sz="0" w:space="0" w:color="auto"/>
        <w:bottom w:val="none" w:sz="0" w:space="0" w:color="auto"/>
        <w:right w:val="none" w:sz="0" w:space="0" w:color="auto"/>
      </w:divBdr>
    </w:div>
    <w:div w:id="1496264910">
      <w:bodyDiv w:val="1"/>
      <w:marLeft w:val="0"/>
      <w:marRight w:val="0"/>
      <w:marTop w:val="0"/>
      <w:marBottom w:val="0"/>
      <w:divBdr>
        <w:top w:val="none" w:sz="0" w:space="0" w:color="auto"/>
        <w:left w:val="none" w:sz="0" w:space="0" w:color="auto"/>
        <w:bottom w:val="none" w:sz="0" w:space="0" w:color="auto"/>
        <w:right w:val="none" w:sz="0" w:space="0" w:color="auto"/>
      </w:divBdr>
    </w:div>
    <w:div w:id="1779980739">
      <w:bodyDiv w:val="1"/>
      <w:marLeft w:val="0"/>
      <w:marRight w:val="0"/>
      <w:marTop w:val="0"/>
      <w:marBottom w:val="0"/>
      <w:divBdr>
        <w:top w:val="none" w:sz="0" w:space="0" w:color="auto"/>
        <w:left w:val="none" w:sz="0" w:space="0" w:color="auto"/>
        <w:bottom w:val="none" w:sz="0" w:space="0" w:color="auto"/>
        <w:right w:val="none" w:sz="0" w:space="0" w:color="auto"/>
      </w:divBdr>
    </w:div>
    <w:div w:id="21253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FEC054CC034F8EDB76F1A360ED82" ma:contentTypeVersion="13" ma:contentTypeDescription="Crée un document." ma:contentTypeScope="" ma:versionID="4d1f7843dafbaf7060fbb41923145e75">
  <xsd:schema xmlns:xsd="http://www.w3.org/2001/XMLSchema" xmlns:xs="http://www.w3.org/2001/XMLSchema" xmlns:p="http://schemas.microsoft.com/office/2006/metadata/properties" xmlns:ns3="11b42e21-0980-4b78-a495-b69f5cacdeea" targetNamespace="http://schemas.microsoft.com/office/2006/metadata/properties" ma:root="true" ma:fieldsID="88687c60a19a4cb56067ce16b3b1454c" ns3:_="">
    <xsd:import namespace="11b42e21-0980-4b78-a495-b69f5cacde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2e21-0980-4b78-a495-b69f5cacd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1b42e21-0980-4b78-a495-b69f5cacde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43785-D63D-47B7-946E-6DF9DCAE1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2e21-0980-4b78-a495-b69f5cacd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18856-F1EB-4BCE-996B-B6CB631919A1}">
  <ds:schemaRefs>
    <ds:schemaRef ds:uri="http://schemas.microsoft.com/office/2006/metadata/properties"/>
    <ds:schemaRef ds:uri="http://schemas.microsoft.com/office/infopath/2007/PartnerControls"/>
    <ds:schemaRef ds:uri="11b42e21-0980-4b78-a495-b69f5cacdeea"/>
  </ds:schemaRefs>
</ds:datastoreItem>
</file>

<file path=customXml/itemProps3.xml><?xml version="1.0" encoding="utf-8"?>
<ds:datastoreItem xmlns:ds="http://schemas.openxmlformats.org/officeDocument/2006/customXml" ds:itemID="{D60096B2-A4E3-4698-8002-4B5C0CFFDF17}">
  <ds:schemaRefs>
    <ds:schemaRef ds:uri="http://schemas.openxmlformats.org/officeDocument/2006/bibliography"/>
  </ds:schemaRefs>
</ds:datastoreItem>
</file>

<file path=customXml/itemProps4.xml><?xml version="1.0" encoding="utf-8"?>
<ds:datastoreItem xmlns:ds="http://schemas.openxmlformats.org/officeDocument/2006/customXml" ds:itemID="{450481F6-4FBB-457C-B1AF-34CC621F7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cazes</dc:creator>
  <cp:keywords/>
  <dc:description/>
  <cp:lastModifiedBy>jerome cazes</cp:lastModifiedBy>
  <cp:revision>3</cp:revision>
  <dcterms:created xsi:type="dcterms:W3CDTF">2024-08-13T08:57:00Z</dcterms:created>
  <dcterms:modified xsi:type="dcterms:W3CDTF">2024-08-13T11:59:00Z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0x010100E73EFEC054CC034F8EDB76F1A360ED82</vt:lpwstr>
  </property>
</Properties>
</file>