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F3D0" w14:textId="08741F5E" w:rsidR="009A6A0F" w:rsidRPr="00E723F9" w:rsidRDefault="009A6A0F" w:rsidP="00E723F9">
      <w:pPr>
        <w:jc w:val="both"/>
        <w:rPr>
          <w:rFonts w:ascii="Calibri" w:eastAsia="Times New Roman" w:hAnsi="Calibri" w:cs="Calibri"/>
          <w:b/>
          <w:bCs/>
        </w:rPr>
      </w:pPr>
      <w:r w:rsidRPr="00E723F9">
        <w:rPr>
          <w:rFonts w:ascii="Calibri" w:eastAsia="Times New Roman" w:hAnsi="Calibri" w:cs="Calibri"/>
          <w:b/>
          <w:bCs/>
        </w:rPr>
        <w:t xml:space="preserve">Règles </w:t>
      </w:r>
      <w:r w:rsidR="00016A27">
        <w:rPr>
          <w:rFonts w:ascii="Calibri" w:eastAsia="Times New Roman" w:hAnsi="Calibri" w:cs="Calibri"/>
          <w:b/>
          <w:bCs/>
        </w:rPr>
        <w:t xml:space="preserve">ou bonnes pratiques </w:t>
      </w:r>
      <w:r w:rsidRPr="00E723F9">
        <w:rPr>
          <w:rFonts w:ascii="Calibri" w:eastAsia="Times New Roman" w:hAnsi="Calibri" w:cs="Calibri"/>
          <w:b/>
          <w:bCs/>
        </w:rPr>
        <w:t xml:space="preserve">de la </w:t>
      </w:r>
      <w:r w:rsidR="00342605" w:rsidRPr="00E723F9">
        <w:rPr>
          <w:rFonts w:ascii="Calibri" w:eastAsia="Times New Roman" w:hAnsi="Calibri" w:cs="Calibri"/>
          <w:b/>
          <w:bCs/>
        </w:rPr>
        <w:t>M</w:t>
      </w:r>
      <w:r w:rsidRPr="00E723F9">
        <w:rPr>
          <w:rFonts w:ascii="Calibri" w:eastAsia="Times New Roman" w:hAnsi="Calibri" w:cs="Calibri"/>
          <w:b/>
          <w:bCs/>
        </w:rPr>
        <w:t xml:space="preserve">esure </w:t>
      </w:r>
      <w:r w:rsidR="00342605" w:rsidRPr="00E723F9">
        <w:rPr>
          <w:rFonts w:ascii="Calibri" w:eastAsia="Times New Roman" w:hAnsi="Calibri" w:cs="Calibri"/>
          <w:b/>
          <w:bCs/>
        </w:rPr>
        <w:t>C</w:t>
      </w:r>
      <w:r w:rsidRPr="00E723F9">
        <w:rPr>
          <w:rFonts w:ascii="Calibri" w:eastAsia="Times New Roman" w:hAnsi="Calibri" w:cs="Calibri"/>
          <w:b/>
          <w:bCs/>
        </w:rPr>
        <w:t xml:space="preserve">omptable </w:t>
      </w:r>
      <w:r w:rsidR="00342605" w:rsidRPr="00E723F9">
        <w:rPr>
          <w:rFonts w:ascii="Calibri" w:eastAsia="Times New Roman" w:hAnsi="Calibri" w:cs="Calibri"/>
          <w:b/>
          <w:bCs/>
        </w:rPr>
        <w:t>E</w:t>
      </w:r>
      <w:r w:rsidRPr="00E723F9">
        <w:rPr>
          <w:rFonts w:ascii="Calibri" w:eastAsia="Times New Roman" w:hAnsi="Calibri" w:cs="Calibri"/>
          <w:b/>
          <w:bCs/>
        </w:rPr>
        <w:t>nvironnementale</w:t>
      </w:r>
      <w:r w:rsidR="00221DB1">
        <w:rPr>
          <w:rFonts w:ascii="Calibri" w:eastAsia="Times New Roman" w:hAnsi="Calibri" w:cs="Calibri"/>
          <w:b/>
          <w:bCs/>
        </w:rPr>
        <w:t xml:space="preserve"> (MCE)</w:t>
      </w:r>
    </w:p>
    <w:p w14:paraId="01FFFA10" w14:textId="77777777" w:rsidR="009A6A0F" w:rsidRPr="00E723F9" w:rsidRDefault="009A6A0F" w:rsidP="00E723F9">
      <w:pPr>
        <w:jc w:val="both"/>
        <w:rPr>
          <w:rFonts w:ascii="Calibri" w:eastAsia="Times New Roman" w:hAnsi="Calibri" w:cs="Calibri"/>
          <w:b/>
          <w:bCs/>
        </w:rPr>
      </w:pPr>
    </w:p>
    <w:p w14:paraId="1E633772" w14:textId="449D253F" w:rsidR="00C27CA0" w:rsidRPr="00755F79" w:rsidRDefault="000E7EFE" w:rsidP="00A50323">
      <w:pPr>
        <w:pStyle w:val="NormalWeb"/>
        <w:jc w:val="both"/>
        <w:rPr>
          <w:rStyle w:val="lev"/>
          <w:rFonts w:ascii="Calibri" w:hAnsi="Calibri" w:cs="Calibri"/>
          <w:b w:val="0"/>
          <w:bCs w:val="0"/>
        </w:rPr>
      </w:pPr>
      <w:r w:rsidRPr="00E723F9">
        <w:rPr>
          <w:rFonts w:ascii="Calibri" w:hAnsi="Calibri" w:cs="Calibri"/>
        </w:rPr>
        <w:t xml:space="preserve">La </w:t>
      </w:r>
      <w:r w:rsidR="00016A27">
        <w:rPr>
          <w:rFonts w:ascii="Calibri" w:hAnsi="Calibri" w:cs="Calibri"/>
        </w:rPr>
        <w:t xml:space="preserve">MCE </w:t>
      </w:r>
      <w:r w:rsidRPr="00E723F9">
        <w:rPr>
          <w:rFonts w:ascii="Calibri" w:hAnsi="Calibri" w:cs="Calibri"/>
        </w:rPr>
        <w:t xml:space="preserve">donne </w:t>
      </w:r>
      <w:r w:rsidR="008911BF">
        <w:rPr>
          <w:rFonts w:ascii="Calibri" w:hAnsi="Calibri" w:cs="Calibri"/>
        </w:rPr>
        <w:t xml:space="preserve">facilement </w:t>
      </w:r>
      <w:r w:rsidR="00CA0F6F">
        <w:rPr>
          <w:rFonts w:ascii="Calibri" w:hAnsi="Calibri" w:cs="Calibri"/>
        </w:rPr>
        <w:t xml:space="preserve">deux performances </w:t>
      </w:r>
      <w:r w:rsidRPr="00E723F9">
        <w:rPr>
          <w:rFonts w:ascii="Calibri" w:hAnsi="Calibri" w:cs="Calibri"/>
        </w:rPr>
        <w:t xml:space="preserve">à </w:t>
      </w:r>
      <w:r w:rsidR="00CA0F6F">
        <w:rPr>
          <w:rFonts w:ascii="Calibri" w:hAnsi="Calibri" w:cs="Calibri"/>
        </w:rPr>
        <w:t>tout</w:t>
      </w:r>
      <w:r w:rsidRPr="00E723F9">
        <w:rPr>
          <w:rFonts w:ascii="Calibri" w:hAnsi="Calibri" w:cs="Calibri"/>
        </w:rPr>
        <w:t xml:space="preserve">e organisation </w:t>
      </w:r>
      <w:r w:rsidR="00E723F9" w:rsidRPr="00E723F9">
        <w:rPr>
          <w:rFonts w:ascii="Calibri" w:hAnsi="Calibri" w:cs="Calibri"/>
        </w:rPr>
        <w:t xml:space="preserve">qui tient ses comptes en argent </w:t>
      </w:r>
      <w:r w:rsidRPr="00E723F9">
        <w:rPr>
          <w:rFonts w:ascii="Calibri" w:hAnsi="Calibri" w:cs="Calibri"/>
        </w:rPr>
        <w:t>(entreprise, collectivité, association) et à ses partenaires</w:t>
      </w:r>
      <w:r w:rsidR="00664353" w:rsidRPr="00E723F9">
        <w:rPr>
          <w:rFonts w:ascii="Calibri" w:hAnsi="Calibri" w:cs="Calibri"/>
        </w:rPr>
        <w:t xml:space="preserve"> </w:t>
      </w:r>
      <w:r w:rsidRPr="00E723F9">
        <w:rPr>
          <w:rFonts w:ascii="Calibri" w:hAnsi="Calibri" w:cs="Calibri"/>
        </w:rPr>
        <w:t>:</w:t>
      </w:r>
      <w:r w:rsidR="00A50323">
        <w:rPr>
          <w:rFonts w:ascii="Calibri" w:hAnsi="Calibri" w:cs="Calibri"/>
        </w:rPr>
        <w:t xml:space="preserve"> l</w:t>
      </w:r>
      <w:r w:rsidRPr="00755F79">
        <w:rPr>
          <w:rStyle w:val="lev"/>
          <w:rFonts w:ascii="Calibri" w:eastAsiaTheme="majorEastAsia" w:hAnsi="Calibri" w:cs="Calibri"/>
          <w:b w:val="0"/>
          <w:bCs w:val="0"/>
        </w:rPr>
        <w:t xml:space="preserve">e poids </w:t>
      </w:r>
      <w:r w:rsidR="009261E8" w:rsidRPr="00755F79">
        <w:rPr>
          <w:rStyle w:val="lev"/>
          <w:rFonts w:ascii="Calibri" w:eastAsiaTheme="majorEastAsia" w:hAnsi="Calibri" w:cs="Calibri"/>
          <w:b w:val="0"/>
          <w:bCs w:val="0"/>
        </w:rPr>
        <w:t xml:space="preserve">carbone comptable </w:t>
      </w:r>
      <w:r w:rsidRPr="00755F79">
        <w:rPr>
          <w:rStyle w:val="lev"/>
          <w:rFonts w:ascii="Calibri" w:eastAsiaTheme="majorEastAsia" w:hAnsi="Calibri" w:cs="Calibri"/>
          <w:b w:val="0"/>
          <w:bCs w:val="0"/>
        </w:rPr>
        <w:t>de ses produits</w:t>
      </w:r>
      <w:r w:rsidR="00A50323">
        <w:rPr>
          <w:rStyle w:val="lev"/>
          <w:rFonts w:ascii="Calibri" w:eastAsiaTheme="majorEastAsia" w:hAnsi="Calibri" w:cs="Calibri"/>
          <w:b w:val="0"/>
          <w:bCs w:val="0"/>
        </w:rPr>
        <w:t xml:space="preserve"> (partie I) et s</w:t>
      </w:r>
      <w:r w:rsidRPr="00755F79">
        <w:rPr>
          <w:rStyle w:val="lev"/>
          <w:rFonts w:ascii="Calibri" w:eastAsiaTheme="majorEastAsia" w:hAnsi="Calibri" w:cs="Calibri"/>
          <w:b w:val="0"/>
          <w:bCs w:val="0"/>
        </w:rPr>
        <w:t xml:space="preserve">a contribution </w:t>
      </w:r>
      <w:r w:rsidR="009261E8" w:rsidRPr="00755F79">
        <w:rPr>
          <w:rStyle w:val="lev"/>
          <w:rFonts w:ascii="Calibri" w:eastAsiaTheme="majorEastAsia" w:hAnsi="Calibri" w:cs="Calibri"/>
          <w:b w:val="0"/>
          <w:bCs w:val="0"/>
        </w:rPr>
        <w:t>c</w:t>
      </w:r>
      <w:r w:rsidR="00D31DDD">
        <w:rPr>
          <w:rStyle w:val="lev"/>
          <w:rFonts w:ascii="Calibri" w:eastAsiaTheme="majorEastAsia" w:hAnsi="Calibri" w:cs="Calibri"/>
          <w:b w:val="0"/>
          <w:bCs w:val="0"/>
        </w:rPr>
        <w:t>omptabl</w:t>
      </w:r>
      <w:r w:rsidR="009261E8" w:rsidRPr="00755F79">
        <w:rPr>
          <w:rStyle w:val="lev"/>
          <w:rFonts w:ascii="Calibri" w:eastAsiaTheme="majorEastAsia" w:hAnsi="Calibri" w:cs="Calibri"/>
          <w:b w:val="0"/>
          <w:bCs w:val="0"/>
        </w:rPr>
        <w:t xml:space="preserve">e </w:t>
      </w:r>
      <w:r w:rsidRPr="00755F79">
        <w:rPr>
          <w:rStyle w:val="lev"/>
          <w:rFonts w:ascii="Calibri" w:eastAsiaTheme="majorEastAsia" w:hAnsi="Calibri" w:cs="Calibri"/>
          <w:b w:val="0"/>
          <w:bCs w:val="0"/>
        </w:rPr>
        <w:t>à la décarbonation</w:t>
      </w:r>
      <w:r w:rsidR="00A50323">
        <w:rPr>
          <w:rStyle w:val="lev"/>
          <w:rFonts w:ascii="Calibri" w:eastAsiaTheme="majorEastAsia" w:hAnsi="Calibri" w:cs="Calibri"/>
          <w:b w:val="0"/>
          <w:bCs w:val="0"/>
        </w:rPr>
        <w:t xml:space="preserve"> (partie </w:t>
      </w:r>
      <w:r w:rsidR="00506E75">
        <w:rPr>
          <w:rStyle w:val="lev"/>
          <w:rFonts w:ascii="Calibri" w:eastAsiaTheme="majorEastAsia" w:hAnsi="Calibri" w:cs="Calibri"/>
          <w:b w:val="0"/>
          <w:bCs w:val="0"/>
        </w:rPr>
        <w:t>II</w:t>
      </w:r>
      <w:r w:rsidR="00A50323">
        <w:rPr>
          <w:rStyle w:val="lev"/>
          <w:rFonts w:ascii="Calibri" w:eastAsiaTheme="majorEastAsia" w:hAnsi="Calibri" w:cs="Calibri"/>
          <w:b w:val="0"/>
          <w:bCs w:val="0"/>
        </w:rPr>
        <w:t>).</w:t>
      </w:r>
    </w:p>
    <w:p w14:paraId="3B225E17" w14:textId="77777777" w:rsidR="0025564E" w:rsidRDefault="009A2101" w:rsidP="0025564E">
      <w:pPr>
        <w:pStyle w:val="NormalWeb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S</w:t>
      </w:r>
      <w:r w:rsidR="000E7EFE" w:rsidRPr="00C27CA0">
        <w:rPr>
          <w:rFonts w:ascii="Calibri" w:hAnsi="Calibri" w:cs="Calibri"/>
        </w:rPr>
        <w:t xml:space="preserve">es règles </w:t>
      </w:r>
      <w:r w:rsidR="00F87123">
        <w:rPr>
          <w:rFonts w:ascii="Calibri" w:hAnsi="Calibri" w:cs="Calibri"/>
        </w:rPr>
        <w:t xml:space="preserve">assurent </w:t>
      </w:r>
      <w:r w:rsidR="003B1E91">
        <w:rPr>
          <w:rFonts w:ascii="Calibri" w:hAnsi="Calibri" w:cs="Calibri"/>
        </w:rPr>
        <w:t>des mesure</w:t>
      </w:r>
      <w:r w:rsidR="003B1E91" w:rsidRPr="00C27CA0">
        <w:rPr>
          <w:rFonts w:ascii="Calibri" w:hAnsi="Calibri" w:cs="Calibri"/>
        </w:rPr>
        <w:t>s comparable</w:t>
      </w:r>
      <w:r w:rsidR="008847C9">
        <w:rPr>
          <w:rFonts w:ascii="Calibri" w:hAnsi="Calibri" w:cs="Calibri"/>
        </w:rPr>
        <w:t>s</w:t>
      </w:r>
      <w:r w:rsidR="00104E82">
        <w:rPr>
          <w:rFonts w:ascii="Calibri" w:hAnsi="Calibri" w:cs="Calibri"/>
        </w:rPr>
        <w:t xml:space="preserve">, </w:t>
      </w:r>
      <w:r w:rsidR="003B1E91" w:rsidRPr="00C27CA0">
        <w:rPr>
          <w:rFonts w:ascii="Calibri" w:hAnsi="Calibri" w:cs="Calibri"/>
        </w:rPr>
        <w:t>entre e</w:t>
      </w:r>
      <w:r w:rsidR="003B1E91">
        <w:rPr>
          <w:rFonts w:ascii="Calibri" w:hAnsi="Calibri" w:cs="Calibri"/>
        </w:rPr>
        <w:t>lles</w:t>
      </w:r>
      <w:r w:rsidR="003B1E91" w:rsidRPr="00C27CA0">
        <w:rPr>
          <w:rFonts w:ascii="Calibri" w:hAnsi="Calibri" w:cs="Calibri"/>
        </w:rPr>
        <w:t xml:space="preserve"> et dans le temps</w:t>
      </w:r>
      <w:r w:rsidR="008847C9">
        <w:rPr>
          <w:rFonts w:ascii="Calibri" w:hAnsi="Calibri" w:cs="Calibri"/>
        </w:rPr>
        <w:t>,</w:t>
      </w:r>
      <w:r w:rsidR="003B1E91">
        <w:rPr>
          <w:rFonts w:ascii="Calibri" w:hAnsi="Calibri" w:cs="Calibri"/>
        </w:rPr>
        <w:t xml:space="preserve"> et </w:t>
      </w:r>
      <w:r w:rsidR="000E7EFE" w:rsidRPr="00C27CA0">
        <w:rPr>
          <w:rFonts w:ascii="Calibri" w:hAnsi="Calibri" w:cs="Calibri"/>
        </w:rPr>
        <w:t>vérifiables</w:t>
      </w:r>
      <w:r w:rsidR="008847C9">
        <w:rPr>
          <w:rFonts w:ascii="Calibri" w:hAnsi="Calibri" w:cs="Calibri"/>
        </w:rPr>
        <w:t xml:space="preserve"> : </w:t>
      </w:r>
      <w:r w:rsidR="003B1E91">
        <w:rPr>
          <w:rFonts w:ascii="Calibri" w:hAnsi="Calibri" w:cs="Calibri"/>
        </w:rPr>
        <w:t>d</w:t>
      </w:r>
      <w:r w:rsidR="004F13A9">
        <w:rPr>
          <w:rFonts w:ascii="Calibri" w:hAnsi="Calibri" w:cs="Calibri"/>
        </w:rPr>
        <w:t xml:space="preserve">eux </w:t>
      </w:r>
      <w:r w:rsidR="005F5304">
        <w:rPr>
          <w:rFonts w:ascii="Calibri" w:hAnsi="Calibri" w:cs="Calibri"/>
        </w:rPr>
        <w:t>comptables obtie</w:t>
      </w:r>
      <w:r w:rsidR="0093168A">
        <w:rPr>
          <w:rFonts w:ascii="Calibri" w:hAnsi="Calibri" w:cs="Calibri"/>
        </w:rPr>
        <w:t>nne</w:t>
      </w:r>
      <w:r w:rsidR="005F5304">
        <w:rPr>
          <w:rFonts w:ascii="Calibri" w:hAnsi="Calibri" w:cs="Calibri"/>
        </w:rPr>
        <w:t xml:space="preserve">nt les mêmes mesures </w:t>
      </w:r>
      <w:r w:rsidR="008847C9">
        <w:rPr>
          <w:rFonts w:ascii="Calibri" w:hAnsi="Calibri" w:cs="Calibri"/>
        </w:rPr>
        <w:t>pou</w:t>
      </w:r>
      <w:r w:rsidR="004F13A9">
        <w:rPr>
          <w:rFonts w:ascii="Calibri" w:hAnsi="Calibri" w:cs="Calibri"/>
        </w:rPr>
        <w:t>r la même organisation.</w:t>
      </w:r>
      <w:r w:rsidR="005F5304">
        <w:rPr>
          <w:rFonts w:ascii="Calibri" w:hAnsi="Calibri" w:cs="Calibri"/>
        </w:rPr>
        <w:t xml:space="preserve"> </w:t>
      </w:r>
    </w:p>
    <w:p w14:paraId="41B18643" w14:textId="7FF6C309" w:rsidR="00DA4936" w:rsidRPr="00E723F9" w:rsidRDefault="00CE3579" w:rsidP="00A4509D">
      <w:pPr>
        <w:pStyle w:val="NormalWeb"/>
        <w:numPr>
          <w:ilvl w:val="0"/>
          <w:numId w:val="15"/>
        </w:numPr>
        <w:jc w:val="both"/>
        <w:rPr>
          <w:rFonts w:ascii="Calibri" w:hAnsi="Calibri" w:cs="Calibri"/>
          <w:b/>
          <w:bCs/>
        </w:rPr>
      </w:pPr>
      <w:r w:rsidRPr="00E723F9">
        <w:rPr>
          <w:rFonts w:ascii="Calibri" w:hAnsi="Calibri" w:cs="Calibri"/>
          <w:b/>
          <w:bCs/>
        </w:rPr>
        <w:t xml:space="preserve">Règles de </w:t>
      </w:r>
      <w:r w:rsidR="005B7483">
        <w:rPr>
          <w:rFonts w:ascii="Calibri" w:hAnsi="Calibri" w:cs="Calibri"/>
          <w:b/>
          <w:bCs/>
        </w:rPr>
        <w:t>mesure</w:t>
      </w:r>
      <w:r w:rsidRPr="00E723F9">
        <w:rPr>
          <w:rFonts w:ascii="Calibri" w:hAnsi="Calibri" w:cs="Calibri"/>
          <w:b/>
          <w:bCs/>
        </w:rPr>
        <w:t xml:space="preserve"> </w:t>
      </w:r>
      <w:r w:rsidR="000D1DC3" w:rsidRPr="00E723F9">
        <w:rPr>
          <w:rFonts w:ascii="Calibri" w:hAnsi="Calibri" w:cs="Calibri"/>
          <w:b/>
          <w:bCs/>
        </w:rPr>
        <w:t>d</w:t>
      </w:r>
      <w:r w:rsidR="00377707" w:rsidRPr="00E723F9">
        <w:rPr>
          <w:rFonts w:ascii="Calibri" w:hAnsi="Calibri" w:cs="Calibri"/>
          <w:b/>
          <w:bCs/>
        </w:rPr>
        <w:t>u</w:t>
      </w:r>
      <w:r w:rsidR="000D1DC3" w:rsidRPr="00E723F9">
        <w:rPr>
          <w:rFonts w:ascii="Calibri" w:hAnsi="Calibri" w:cs="Calibri"/>
          <w:b/>
          <w:bCs/>
        </w:rPr>
        <w:t xml:space="preserve"> </w:t>
      </w:r>
      <w:r w:rsidR="00DF5897" w:rsidRPr="00E723F9">
        <w:rPr>
          <w:rFonts w:ascii="Calibri" w:hAnsi="Calibri" w:cs="Calibri"/>
          <w:b/>
          <w:bCs/>
        </w:rPr>
        <w:t>P</w:t>
      </w:r>
      <w:r w:rsidR="008A1B8A" w:rsidRPr="00E723F9">
        <w:rPr>
          <w:rFonts w:ascii="Calibri" w:hAnsi="Calibri" w:cs="Calibri"/>
          <w:b/>
          <w:bCs/>
        </w:rPr>
        <w:t xml:space="preserve">oids </w:t>
      </w:r>
      <w:r w:rsidR="00DF5897" w:rsidRPr="00E723F9">
        <w:rPr>
          <w:rFonts w:ascii="Calibri" w:hAnsi="Calibri" w:cs="Calibri"/>
          <w:b/>
          <w:bCs/>
        </w:rPr>
        <w:t>C</w:t>
      </w:r>
      <w:r w:rsidR="008A1B8A" w:rsidRPr="00E723F9">
        <w:rPr>
          <w:rFonts w:ascii="Calibri" w:hAnsi="Calibri" w:cs="Calibri"/>
          <w:b/>
          <w:bCs/>
        </w:rPr>
        <w:t xml:space="preserve">arbone </w:t>
      </w:r>
      <w:r w:rsidR="00DF5897" w:rsidRPr="00E723F9">
        <w:rPr>
          <w:rFonts w:ascii="Calibri" w:hAnsi="Calibri" w:cs="Calibri"/>
          <w:b/>
          <w:bCs/>
        </w:rPr>
        <w:t>C</w:t>
      </w:r>
      <w:r w:rsidR="008A1B8A" w:rsidRPr="00E723F9">
        <w:rPr>
          <w:rFonts w:ascii="Calibri" w:hAnsi="Calibri" w:cs="Calibri"/>
          <w:b/>
          <w:bCs/>
        </w:rPr>
        <w:t>omptable</w:t>
      </w:r>
      <w:r w:rsidR="009C15B7">
        <w:rPr>
          <w:rFonts w:ascii="Calibri" w:hAnsi="Calibri" w:cs="Calibri"/>
          <w:b/>
          <w:bCs/>
        </w:rPr>
        <w:t xml:space="preserve"> (PCC)</w:t>
      </w:r>
    </w:p>
    <w:p w14:paraId="3286F5B8" w14:textId="2E3EDF47" w:rsidR="004A3832" w:rsidRPr="00E723F9" w:rsidRDefault="00887CBC" w:rsidP="004A3832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</w:t>
      </w:r>
      <w:r w:rsidR="009F603B" w:rsidRPr="00E723F9">
        <w:rPr>
          <w:rFonts w:ascii="Calibri" w:eastAsia="Times New Roman" w:hAnsi="Calibri" w:cs="Calibri"/>
        </w:rPr>
        <w:t>e poids carbone d</w:t>
      </w:r>
      <w:r w:rsidR="009F7E08" w:rsidRPr="00E723F9">
        <w:rPr>
          <w:rFonts w:ascii="Calibri" w:eastAsia="Times New Roman" w:hAnsi="Calibri" w:cs="Calibri"/>
        </w:rPr>
        <w:t xml:space="preserve">’un bien </w:t>
      </w:r>
      <w:r w:rsidR="006539AF" w:rsidRPr="00E723F9">
        <w:rPr>
          <w:rFonts w:ascii="Calibri" w:eastAsia="Times New Roman" w:hAnsi="Calibri" w:cs="Calibri"/>
        </w:rPr>
        <w:t xml:space="preserve">ou </w:t>
      </w:r>
      <w:r w:rsidR="00CA0F62">
        <w:rPr>
          <w:rFonts w:ascii="Calibri" w:eastAsia="Times New Roman" w:hAnsi="Calibri" w:cs="Calibri"/>
        </w:rPr>
        <w:t xml:space="preserve">d’un </w:t>
      </w:r>
      <w:r w:rsidR="006539AF" w:rsidRPr="00E723F9">
        <w:rPr>
          <w:rFonts w:ascii="Calibri" w:eastAsia="Times New Roman" w:hAnsi="Calibri" w:cs="Calibri"/>
        </w:rPr>
        <w:t>service</w:t>
      </w:r>
      <w:r w:rsidR="00B3522B">
        <w:rPr>
          <w:rFonts w:ascii="Calibri" w:eastAsia="Times New Roman" w:hAnsi="Calibri" w:cs="Calibri"/>
        </w:rPr>
        <w:t xml:space="preserve"> est</w:t>
      </w:r>
      <w:r w:rsidR="006539AF" w:rsidRPr="00E723F9">
        <w:rPr>
          <w:rFonts w:ascii="Calibri" w:eastAsia="Times New Roman" w:hAnsi="Calibri" w:cs="Calibri"/>
        </w:rPr>
        <w:t xml:space="preserve"> </w:t>
      </w:r>
      <w:r w:rsidR="00737260">
        <w:rPr>
          <w:rFonts w:ascii="Calibri" w:eastAsia="Times New Roman" w:hAnsi="Calibri" w:cs="Calibri"/>
        </w:rPr>
        <w:t>la quantité de carbones émise</w:t>
      </w:r>
      <w:r w:rsidR="0005514C">
        <w:rPr>
          <w:rFonts w:ascii="Calibri" w:eastAsia="Times New Roman" w:hAnsi="Calibri" w:cs="Calibri"/>
        </w:rPr>
        <w:t xml:space="preserve"> pour le produire. Ce poids carbone</w:t>
      </w:r>
      <w:r w:rsidR="00737260">
        <w:rPr>
          <w:rFonts w:ascii="Calibri" w:eastAsia="Times New Roman" w:hAnsi="Calibri" w:cs="Calibri"/>
        </w:rPr>
        <w:t xml:space="preserve"> </w:t>
      </w:r>
      <w:r w:rsidR="00115369">
        <w:rPr>
          <w:rFonts w:ascii="Calibri" w:eastAsia="Times New Roman" w:hAnsi="Calibri" w:cs="Calibri"/>
        </w:rPr>
        <w:t xml:space="preserve">est </w:t>
      </w:r>
      <w:r w:rsidR="009C15B7" w:rsidRPr="0005514C">
        <w:rPr>
          <w:rFonts w:ascii="Calibri" w:eastAsia="Times New Roman" w:hAnsi="Calibri" w:cs="Calibri"/>
          <w:u w:val="single"/>
        </w:rPr>
        <w:t>comptable</w:t>
      </w:r>
      <w:r w:rsidR="009C15B7">
        <w:rPr>
          <w:rFonts w:ascii="Calibri" w:eastAsia="Times New Roman" w:hAnsi="Calibri" w:cs="Calibri"/>
        </w:rPr>
        <w:t xml:space="preserve"> </w:t>
      </w:r>
      <w:r w:rsidR="0005657A">
        <w:rPr>
          <w:rFonts w:ascii="Calibri" w:eastAsia="Times New Roman" w:hAnsi="Calibri" w:cs="Calibri"/>
        </w:rPr>
        <w:t xml:space="preserve">ou </w:t>
      </w:r>
      <w:r w:rsidR="0047296B">
        <w:rPr>
          <w:rFonts w:ascii="Calibri" w:eastAsia="Times New Roman" w:hAnsi="Calibri" w:cs="Calibri"/>
        </w:rPr>
        <w:t xml:space="preserve">un </w:t>
      </w:r>
      <w:r w:rsidR="0005657A">
        <w:rPr>
          <w:rFonts w:ascii="Calibri" w:eastAsia="Times New Roman" w:hAnsi="Calibri" w:cs="Calibri"/>
        </w:rPr>
        <w:t xml:space="preserve">PCC </w:t>
      </w:r>
      <w:r w:rsidR="00BF4F6F" w:rsidRPr="00BF4F6F">
        <w:rPr>
          <w:rFonts w:ascii="Calibri" w:eastAsia="Times New Roman" w:hAnsi="Calibri" w:cs="Calibri"/>
          <w:i/>
          <w:iCs/>
        </w:rPr>
        <w:t>(label à imaginer)</w:t>
      </w:r>
      <w:r w:rsidR="00BF4F6F">
        <w:rPr>
          <w:rFonts w:ascii="Calibri" w:eastAsia="Times New Roman" w:hAnsi="Calibri" w:cs="Calibri"/>
        </w:rPr>
        <w:t xml:space="preserve"> </w:t>
      </w:r>
      <w:r w:rsidR="009C15B7">
        <w:rPr>
          <w:rFonts w:ascii="Calibri" w:eastAsia="Times New Roman" w:hAnsi="Calibri" w:cs="Calibri"/>
        </w:rPr>
        <w:t xml:space="preserve">si </w:t>
      </w:r>
      <w:r w:rsidR="007A1BC5">
        <w:rPr>
          <w:rFonts w:ascii="Calibri" w:eastAsia="Times New Roman" w:hAnsi="Calibri" w:cs="Calibri"/>
        </w:rPr>
        <w:t xml:space="preserve">l’organisation qui le </w:t>
      </w:r>
      <w:r w:rsidR="002B450A">
        <w:rPr>
          <w:rFonts w:ascii="Calibri" w:eastAsia="Times New Roman" w:hAnsi="Calibri" w:cs="Calibri"/>
        </w:rPr>
        <w:t>répercut</w:t>
      </w:r>
      <w:r w:rsidR="007A1BC5">
        <w:rPr>
          <w:rFonts w:ascii="Calibri" w:eastAsia="Times New Roman" w:hAnsi="Calibri" w:cs="Calibri"/>
        </w:rPr>
        <w:t xml:space="preserve">e respecte </w:t>
      </w:r>
      <w:r w:rsidR="009525E0" w:rsidRPr="007068E6">
        <w:rPr>
          <w:rFonts w:ascii="Calibri" w:eastAsia="Times New Roman" w:hAnsi="Calibri" w:cs="Calibri"/>
        </w:rPr>
        <w:t>s</w:t>
      </w:r>
      <w:r w:rsidR="009F603B" w:rsidRPr="007068E6">
        <w:rPr>
          <w:rFonts w:ascii="Calibri" w:eastAsia="Times New Roman" w:hAnsi="Calibri" w:cs="Calibri"/>
        </w:rPr>
        <w:t>es principes c</w:t>
      </w:r>
      <w:r w:rsidR="00F65F19" w:rsidRPr="007068E6">
        <w:rPr>
          <w:rFonts w:ascii="Calibri" w:eastAsia="Times New Roman" w:hAnsi="Calibri" w:cs="Calibri"/>
        </w:rPr>
        <w:t>omptabl</w:t>
      </w:r>
      <w:r w:rsidR="009F603B" w:rsidRPr="007068E6">
        <w:rPr>
          <w:rFonts w:ascii="Calibri" w:eastAsia="Times New Roman" w:hAnsi="Calibri" w:cs="Calibri"/>
        </w:rPr>
        <w:t xml:space="preserve">es </w:t>
      </w:r>
      <w:r w:rsidR="00B9732E" w:rsidRPr="007068E6">
        <w:rPr>
          <w:rFonts w:ascii="Calibri" w:eastAsia="Times New Roman" w:hAnsi="Calibri" w:cs="Calibri"/>
        </w:rPr>
        <w:t>en argent</w:t>
      </w:r>
      <w:r w:rsidR="006F575C" w:rsidRPr="007068E6">
        <w:rPr>
          <w:rFonts w:ascii="Calibri" w:eastAsia="Times New Roman" w:hAnsi="Calibri" w:cs="Calibri"/>
        </w:rPr>
        <w:t xml:space="preserve">, </w:t>
      </w:r>
      <w:r w:rsidR="00AD1920" w:rsidRPr="007068E6">
        <w:rPr>
          <w:rFonts w:ascii="Calibri" w:eastAsia="Times New Roman" w:hAnsi="Calibri" w:cs="Calibri"/>
        </w:rPr>
        <w:t xml:space="preserve">avec les </w:t>
      </w:r>
      <w:r w:rsidR="00EC08AC">
        <w:rPr>
          <w:rFonts w:ascii="Calibri" w:eastAsia="Times New Roman" w:hAnsi="Calibri" w:cs="Calibri"/>
        </w:rPr>
        <w:t xml:space="preserve">seuls </w:t>
      </w:r>
      <w:r w:rsidR="00AD1920" w:rsidRPr="007068E6">
        <w:rPr>
          <w:rFonts w:ascii="Calibri" w:eastAsia="Times New Roman" w:hAnsi="Calibri" w:cs="Calibri"/>
        </w:rPr>
        <w:t xml:space="preserve">ajustements </w:t>
      </w:r>
      <w:r w:rsidR="00EC08AC">
        <w:rPr>
          <w:rFonts w:ascii="Calibri" w:eastAsia="Times New Roman" w:hAnsi="Calibri" w:cs="Calibri"/>
        </w:rPr>
        <w:t>spécifiques indiqués ci-dessous.</w:t>
      </w:r>
      <w:r w:rsidR="004769C5">
        <w:rPr>
          <w:rFonts w:ascii="Calibri" w:eastAsia="Times New Roman" w:hAnsi="Calibri" w:cs="Calibri"/>
        </w:rPr>
        <w:t xml:space="preserve"> E</w:t>
      </w:r>
      <w:r w:rsidR="0040749B">
        <w:rPr>
          <w:rFonts w:ascii="Calibri" w:eastAsia="Times New Roman" w:hAnsi="Calibri" w:cs="Calibri"/>
        </w:rPr>
        <w:t>lle conduit la mesure pour toute son activité ou</w:t>
      </w:r>
      <w:r w:rsidR="00B13184">
        <w:rPr>
          <w:rFonts w:ascii="Calibri" w:eastAsia="Times New Roman" w:hAnsi="Calibri" w:cs="Calibri"/>
        </w:rPr>
        <w:t xml:space="preserve">, si elle a une comptabilité analytique, </w:t>
      </w:r>
      <w:r w:rsidR="0040749B">
        <w:rPr>
          <w:rFonts w:ascii="Calibri" w:eastAsia="Times New Roman" w:hAnsi="Calibri" w:cs="Calibri"/>
        </w:rPr>
        <w:t xml:space="preserve">séparément pour </w:t>
      </w:r>
      <w:r w:rsidR="0040749B" w:rsidRPr="00E723F9">
        <w:rPr>
          <w:rFonts w:ascii="Calibri" w:eastAsia="Times New Roman" w:hAnsi="Calibri" w:cs="Calibri"/>
        </w:rPr>
        <w:t xml:space="preserve">chaque activité distinguée par </w:t>
      </w:r>
      <w:r w:rsidR="00621B3D">
        <w:rPr>
          <w:rFonts w:ascii="Calibri" w:eastAsia="Times New Roman" w:hAnsi="Calibri" w:cs="Calibri"/>
        </w:rPr>
        <w:t>cette comptabilité</w:t>
      </w:r>
      <w:r w:rsidR="0040749B">
        <w:rPr>
          <w:rFonts w:ascii="Calibri" w:eastAsia="Times New Roman" w:hAnsi="Calibri" w:cs="Calibri"/>
        </w:rPr>
        <w:t>.</w:t>
      </w:r>
      <w:r w:rsidR="004A3832">
        <w:rPr>
          <w:rFonts w:ascii="Calibri" w:eastAsia="Times New Roman" w:hAnsi="Calibri" w:cs="Calibri"/>
        </w:rPr>
        <w:t xml:space="preserve"> Les clés </w:t>
      </w:r>
      <w:r w:rsidR="007405BA">
        <w:rPr>
          <w:rFonts w:ascii="Calibri" w:eastAsia="Times New Roman" w:hAnsi="Calibri" w:cs="Calibri"/>
        </w:rPr>
        <w:t xml:space="preserve">analytiques </w:t>
      </w:r>
      <w:r w:rsidR="004A3832">
        <w:rPr>
          <w:rFonts w:ascii="Calibri" w:eastAsia="Times New Roman" w:hAnsi="Calibri" w:cs="Calibri"/>
        </w:rPr>
        <w:t xml:space="preserve">sont </w:t>
      </w:r>
      <w:r w:rsidR="00B864CC">
        <w:rPr>
          <w:rFonts w:ascii="Calibri" w:eastAsia="Times New Roman" w:hAnsi="Calibri" w:cs="Calibri"/>
        </w:rPr>
        <w:t>celles de</w:t>
      </w:r>
      <w:r w:rsidR="004A3832">
        <w:rPr>
          <w:rFonts w:ascii="Calibri" w:eastAsia="Times New Roman" w:hAnsi="Calibri" w:cs="Calibri"/>
        </w:rPr>
        <w:t xml:space="preserve"> la </w:t>
      </w:r>
      <w:r w:rsidR="004A3832" w:rsidRPr="00E723F9">
        <w:rPr>
          <w:rFonts w:ascii="Calibri" w:eastAsia="Times New Roman" w:hAnsi="Calibri" w:cs="Calibri"/>
        </w:rPr>
        <w:t>comptabilité analytique</w:t>
      </w:r>
      <w:r w:rsidR="004A3832">
        <w:rPr>
          <w:rFonts w:ascii="Calibri" w:eastAsia="Times New Roman" w:hAnsi="Calibri" w:cs="Calibri"/>
        </w:rPr>
        <w:t xml:space="preserve"> en argent</w:t>
      </w:r>
      <w:r w:rsidR="004A3832" w:rsidRPr="00E723F9">
        <w:rPr>
          <w:rFonts w:ascii="Calibri" w:eastAsia="Times New Roman" w:hAnsi="Calibri" w:cs="Calibri"/>
        </w:rPr>
        <w:t xml:space="preserve">, </w:t>
      </w:r>
      <w:r w:rsidR="004A3832">
        <w:rPr>
          <w:rFonts w:ascii="Calibri" w:eastAsia="Times New Roman" w:hAnsi="Calibri" w:cs="Calibri"/>
        </w:rPr>
        <w:t>sauf justification</w:t>
      </w:r>
      <w:r w:rsidR="004A3832" w:rsidRPr="00E723F9">
        <w:rPr>
          <w:rFonts w:ascii="Calibri" w:eastAsia="Times New Roman" w:hAnsi="Calibri" w:cs="Calibri"/>
        </w:rPr>
        <w:t>.</w:t>
      </w:r>
    </w:p>
    <w:p w14:paraId="3EA28FBA" w14:textId="77777777" w:rsidR="00E47742" w:rsidRPr="00E723F9" w:rsidRDefault="00E47742" w:rsidP="00E723F9">
      <w:pPr>
        <w:jc w:val="both"/>
        <w:rPr>
          <w:rFonts w:ascii="Calibri" w:eastAsia="Times New Roman" w:hAnsi="Calibri" w:cs="Calibri"/>
          <w:b/>
          <w:bCs/>
        </w:rPr>
      </w:pPr>
    </w:p>
    <w:p w14:paraId="6F645F69" w14:textId="11117B55" w:rsidR="00B7203C" w:rsidRPr="00E723F9" w:rsidRDefault="00C80884" w:rsidP="00E723F9">
      <w:pPr>
        <w:ind w:firstLine="708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Le décompte des carbones </w:t>
      </w:r>
      <w:r w:rsidR="005872F1">
        <w:rPr>
          <w:rFonts w:ascii="Calibri" w:eastAsia="Times New Roman" w:hAnsi="Calibri" w:cs="Calibri"/>
          <w:b/>
          <w:bCs/>
        </w:rPr>
        <w:t>ajoutés par l</w:t>
      </w:r>
      <w:r w:rsidR="00B7203C" w:rsidRPr="00E723F9">
        <w:rPr>
          <w:rFonts w:ascii="Calibri" w:eastAsia="Times New Roman" w:hAnsi="Calibri" w:cs="Calibri"/>
          <w:b/>
          <w:bCs/>
        </w:rPr>
        <w:t>es émissions directes</w:t>
      </w:r>
    </w:p>
    <w:p w14:paraId="719C0E44" w14:textId="7B7D1110" w:rsidR="00B7203C" w:rsidRPr="00E723F9" w:rsidRDefault="00B7203C" w:rsidP="00E723F9">
      <w:pPr>
        <w:jc w:val="both"/>
        <w:rPr>
          <w:rFonts w:ascii="Calibri" w:eastAsia="Times New Roman" w:hAnsi="Calibri" w:cs="Calibri"/>
        </w:rPr>
      </w:pPr>
      <w:r w:rsidRPr="00E723F9">
        <w:rPr>
          <w:rFonts w:ascii="Calibri" w:eastAsia="Times New Roman" w:hAnsi="Calibri" w:cs="Calibri"/>
        </w:rPr>
        <w:t xml:space="preserve">Pour les émissions de combustion, </w:t>
      </w:r>
      <w:r w:rsidR="00301498" w:rsidRPr="00E723F9">
        <w:rPr>
          <w:rFonts w:ascii="Calibri" w:eastAsia="Times New Roman" w:hAnsi="Calibri" w:cs="Calibri"/>
        </w:rPr>
        <w:t>le comptable applique les standards de combustion aux factures d’achat de combustibles (</w:t>
      </w:r>
      <w:r w:rsidR="00301498" w:rsidRPr="00FA729D">
        <w:rPr>
          <w:rFonts w:ascii="Calibri" w:eastAsia="Times New Roman" w:hAnsi="Calibri" w:cs="Calibri"/>
          <w:i/>
          <w:iCs/>
        </w:rPr>
        <w:t>des calculateurs sont disponibles</w:t>
      </w:r>
      <w:r w:rsidR="00301498" w:rsidRPr="00E723F9">
        <w:rPr>
          <w:rFonts w:ascii="Calibri" w:eastAsia="Times New Roman" w:hAnsi="Calibri" w:cs="Calibri"/>
        </w:rPr>
        <w:t xml:space="preserve">). </w:t>
      </w:r>
      <w:r w:rsidR="00BB7E76">
        <w:rPr>
          <w:rFonts w:ascii="Calibri" w:eastAsia="Times New Roman" w:hAnsi="Calibri" w:cs="Calibri"/>
        </w:rPr>
        <w:t>P</w:t>
      </w:r>
      <w:r w:rsidR="00301498" w:rsidRPr="00E723F9">
        <w:rPr>
          <w:rFonts w:ascii="Calibri" w:eastAsia="Times New Roman" w:hAnsi="Calibri" w:cs="Calibri"/>
        </w:rPr>
        <w:t xml:space="preserve">our les autres émissions ou captures </w:t>
      </w:r>
      <w:r w:rsidR="00C54158">
        <w:rPr>
          <w:rFonts w:ascii="Calibri" w:eastAsia="Times New Roman" w:hAnsi="Calibri" w:cs="Calibri"/>
        </w:rPr>
        <w:t>présentes d</w:t>
      </w:r>
      <w:r w:rsidR="002E3214">
        <w:rPr>
          <w:rFonts w:ascii="Calibri" w:eastAsia="Times New Roman" w:hAnsi="Calibri" w:cs="Calibri"/>
        </w:rPr>
        <w:t>ans</w:t>
      </w:r>
      <w:r w:rsidR="00C54158">
        <w:rPr>
          <w:rFonts w:ascii="Calibri" w:eastAsia="Times New Roman" w:hAnsi="Calibri" w:cs="Calibri"/>
        </w:rPr>
        <w:t xml:space="preserve"> certaines activités </w:t>
      </w:r>
      <w:r w:rsidR="00BB7E76">
        <w:rPr>
          <w:rFonts w:ascii="Calibri" w:eastAsia="Times New Roman" w:hAnsi="Calibri" w:cs="Calibri"/>
        </w:rPr>
        <w:t xml:space="preserve">il s’appuie </w:t>
      </w:r>
      <w:r w:rsidR="00301498" w:rsidRPr="00E723F9">
        <w:rPr>
          <w:rFonts w:ascii="Calibri" w:eastAsia="Times New Roman" w:hAnsi="Calibri" w:cs="Calibri"/>
        </w:rPr>
        <w:t>sur le certificat d’un expert environnemental</w:t>
      </w:r>
      <w:r w:rsidR="00A91444">
        <w:rPr>
          <w:rFonts w:ascii="Calibri" w:eastAsia="Times New Roman" w:hAnsi="Calibri" w:cs="Calibri"/>
        </w:rPr>
        <w:t xml:space="preserve"> s’appuyant sur l</w:t>
      </w:r>
      <w:r w:rsidR="00A91444" w:rsidRPr="00E723F9">
        <w:rPr>
          <w:rFonts w:ascii="Calibri" w:eastAsia="Times New Roman" w:hAnsi="Calibri" w:cs="Calibri"/>
        </w:rPr>
        <w:t>es données des Nations Unies </w:t>
      </w:r>
      <w:r w:rsidR="00301498" w:rsidRPr="00E723F9">
        <w:rPr>
          <w:rFonts w:ascii="Calibri" w:eastAsia="Times New Roman" w:hAnsi="Calibri" w:cs="Calibri"/>
        </w:rPr>
        <w:t>.</w:t>
      </w:r>
    </w:p>
    <w:p w14:paraId="1301E2DE" w14:textId="77777777" w:rsidR="00301498" w:rsidRPr="00E723F9" w:rsidRDefault="00301498" w:rsidP="00E723F9">
      <w:pPr>
        <w:jc w:val="both"/>
        <w:rPr>
          <w:rFonts w:ascii="Calibri" w:eastAsia="Times New Roman" w:hAnsi="Calibri" w:cs="Calibri"/>
        </w:rPr>
      </w:pPr>
    </w:p>
    <w:p w14:paraId="1438C6E9" w14:textId="6FA320C3" w:rsidR="00014112" w:rsidRPr="00E723F9" w:rsidRDefault="00F733A4" w:rsidP="00E723F9">
      <w:pPr>
        <w:pStyle w:val="Paragraphedeliste"/>
        <w:spacing w:after="0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Le décompte des carbones venant </w:t>
      </w:r>
      <w:r w:rsidR="006539AF" w:rsidRPr="00E723F9">
        <w:rPr>
          <w:rFonts w:ascii="Calibri" w:eastAsia="Times New Roman" w:hAnsi="Calibri" w:cs="Calibri"/>
          <w:b/>
          <w:bCs/>
        </w:rPr>
        <w:t>des achats</w:t>
      </w:r>
    </w:p>
    <w:p w14:paraId="633FE3D5" w14:textId="245C657D" w:rsidR="00C9061B" w:rsidRDefault="000D51E8" w:rsidP="00E723F9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Le comptable mesure l</w:t>
      </w:r>
      <w:r w:rsidR="0054025B" w:rsidRPr="00E723F9">
        <w:rPr>
          <w:rFonts w:ascii="Calibri" w:eastAsia="Times New Roman" w:hAnsi="Calibri" w:cs="Calibri"/>
        </w:rPr>
        <w:t xml:space="preserve">es émissions </w:t>
      </w:r>
      <w:r w:rsidR="0054025B">
        <w:rPr>
          <w:rFonts w:ascii="Calibri" w:eastAsia="Times New Roman" w:hAnsi="Calibri" w:cs="Calibri"/>
        </w:rPr>
        <w:t xml:space="preserve">nettes </w:t>
      </w:r>
      <w:r w:rsidR="0054025B" w:rsidRPr="00E723F9">
        <w:rPr>
          <w:rFonts w:ascii="Calibri" w:eastAsia="Times New Roman" w:hAnsi="Calibri" w:cs="Calibri"/>
        </w:rPr>
        <w:t>indirectes</w:t>
      </w:r>
      <w:r>
        <w:rPr>
          <w:rFonts w:ascii="Calibri" w:eastAsia="Times New Roman" w:hAnsi="Calibri" w:cs="Calibri"/>
        </w:rPr>
        <w:t xml:space="preserve"> par les </w:t>
      </w:r>
      <w:r w:rsidR="0054025B" w:rsidRPr="00E723F9">
        <w:rPr>
          <w:rFonts w:ascii="Calibri" w:eastAsia="Times New Roman" w:hAnsi="Calibri" w:cs="Calibri"/>
        </w:rPr>
        <w:t xml:space="preserve">PCC </w:t>
      </w:r>
      <w:r w:rsidR="00E87564">
        <w:rPr>
          <w:rFonts w:ascii="Calibri" w:eastAsia="Times New Roman" w:hAnsi="Calibri" w:cs="Calibri"/>
        </w:rPr>
        <w:t xml:space="preserve">des factures </w:t>
      </w:r>
      <w:r w:rsidR="0054025B" w:rsidRPr="00E723F9">
        <w:rPr>
          <w:rFonts w:ascii="Calibri" w:eastAsia="Times New Roman" w:hAnsi="Calibri" w:cs="Calibri"/>
        </w:rPr>
        <w:t>de</w:t>
      </w:r>
      <w:r w:rsidR="00E87564">
        <w:rPr>
          <w:rFonts w:ascii="Calibri" w:eastAsia="Times New Roman" w:hAnsi="Calibri" w:cs="Calibri"/>
        </w:rPr>
        <w:t xml:space="preserve"> </w:t>
      </w:r>
      <w:r w:rsidR="0054025B" w:rsidRPr="00E723F9">
        <w:rPr>
          <w:rFonts w:ascii="Calibri" w:eastAsia="Times New Roman" w:hAnsi="Calibri" w:cs="Calibri"/>
        </w:rPr>
        <w:t xml:space="preserve">fournisseurs </w:t>
      </w:r>
      <w:r w:rsidR="00E87564">
        <w:rPr>
          <w:rFonts w:ascii="Calibri" w:eastAsia="Times New Roman" w:hAnsi="Calibri" w:cs="Calibri"/>
        </w:rPr>
        <w:t xml:space="preserve">enregistrées sur l’exercice </w:t>
      </w:r>
      <w:r w:rsidR="0054025B" w:rsidRPr="00E723F9">
        <w:rPr>
          <w:rFonts w:ascii="Calibri" w:eastAsia="Times New Roman" w:hAnsi="Calibri" w:cs="Calibri"/>
        </w:rPr>
        <w:t xml:space="preserve">ou, pour les seuls achats non énergétiques sans PCC, </w:t>
      </w:r>
      <w:r w:rsidR="0054025B">
        <w:rPr>
          <w:rFonts w:ascii="Calibri" w:eastAsia="Times New Roman" w:hAnsi="Calibri" w:cs="Calibri"/>
        </w:rPr>
        <w:t>à partir d</w:t>
      </w:r>
      <w:r w:rsidR="0054025B" w:rsidRPr="00E723F9">
        <w:rPr>
          <w:rFonts w:ascii="Calibri" w:eastAsia="Times New Roman" w:hAnsi="Calibri" w:cs="Calibri"/>
        </w:rPr>
        <w:t>es Facteurs d'Emission Nationaux par Activité (FENA)*.</w:t>
      </w:r>
      <w:r w:rsidR="0054025B">
        <w:rPr>
          <w:rFonts w:ascii="Calibri" w:eastAsia="Times New Roman" w:hAnsi="Calibri" w:cs="Calibri"/>
        </w:rPr>
        <w:t xml:space="preserve"> </w:t>
      </w:r>
    </w:p>
    <w:p w14:paraId="75E5B9DF" w14:textId="77777777" w:rsidR="00B7086C" w:rsidRPr="00E723F9" w:rsidRDefault="00B7086C" w:rsidP="007E3E9B">
      <w:pPr>
        <w:ind w:left="708"/>
        <w:jc w:val="both"/>
        <w:rPr>
          <w:rFonts w:ascii="Calibri" w:eastAsia="Times New Roman" w:hAnsi="Calibri" w:cs="Calibri"/>
        </w:rPr>
      </w:pPr>
      <w:r w:rsidRPr="00E723F9">
        <w:rPr>
          <w:rFonts w:ascii="Calibri" w:eastAsia="Times New Roman" w:hAnsi="Calibri" w:cs="Calibri"/>
        </w:rPr>
        <w:t xml:space="preserve">* </w:t>
      </w:r>
      <w:r>
        <w:rPr>
          <w:rFonts w:ascii="Calibri" w:eastAsia="Times New Roman" w:hAnsi="Calibri" w:cs="Calibri"/>
        </w:rPr>
        <w:t>Les FENA rapportent les carbones nécessaires à une activité aux ventes de cette activité, dans d</w:t>
      </w:r>
      <w:r w:rsidRPr="00E723F9">
        <w:rPr>
          <w:rFonts w:ascii="Calibri" w:eastAsia="Times New Roman" w:hAnsi="Calibri" w:cs="Calibri"/>
        </w:rPr>
        <w:t xml:space="preserve">es Tableaux Internationaux Entrée-Sortie de l’OCDE </w:t>
      </w:r>
      <w:r>
        <w:rPr>
          <w:rFonts w:ascii="Calibri" w:eastAsia="Times New Roman" w:hAnsi="Calibri" w:cs="Calibri"/>
        </w:rPr>
        <w:t>(</w:t>
      </w:r>
      <w:r w:rsidRPr="00E723F9">
        <w:rPr>
          <w:rFonts w:ascii="Calibri" w:eastAsia="Times New Roman" w:hAnsi="Calibri" w:cs="Calibri"/>
        </w:rPr>
        <w:t>ou d’Eurostat</w:t>
      </w:r>
      <w:r>
        <w:rPr>
          <w:rFonts w:ascii="Calibri" w:eastAsia="Times New Roman" w:hAnsi="Calibri" w:cs="Calibri"/>
        </w:rPr>
        <w:t>)</w:t>
      </w:r>
      <w:r w:rsidRPr="00E723F9">
        <w:rPr>
          <w:rFonts w:ascii="Calibri" w:eastAsia="Times New Roman" w:hAnsi="Calibri" w:cs="Calibri"/>
        </w:rPr>
        <w:t xml:space="preserve"> en 64 activités.</w:t>
      </w:r>
    </w:p>
    <w:p w14:paraId="384EDE7C" w14:textId="6522A625" w:rsidR="001F17A5" w:rsidRDefault="001F17A5" w:rsidP="001F17A5">
      <w:pPr>
        <w:jc w:val="both"/>
        <w:rPr>
          <w:rFonts w:ascii="Calibri" w:eastAsia="Times New Roman" w:hAnsi="Calibri" w:cs="Calibri"/>
          <w:i/>
          <w:iCs/>
        </w:rPr>
      </w:pPr>
      <w:r w:rsidRPr="00E723F9">
        <w:rPr>
          <w:rFonts w:ascii="Calibri" w:eastAsia="Times New Roman" w:hAnsi="Calibri" w:cs="Calibri"/>
        </w:rPr>
        <w:t>L</w:t>
      </w:r>
      <w:r>
        <w:rPr>
          <w:rFonts w:ascii="Calibri" w:eastAsia="Times New Roman" w:hAnsi="Calibri" w:cs="Calibri"/>
        </w:rPr>
        <w:t>es factures sont rattachées à leur exercice selon une comptabilité carbone de caisse </w:t>
      </w:r>
      <w:r w:rsidRPr="00A66322">
        <w:rPr>
          <w:rFonts w:ascii="Calibri" w:eastAsia="Times New Roman" w:hAnsi="Calibri" w:cs="Calibri"/>
          <w:i/>
          <w:iCs/>
        </w:rPr>
        <w:t xml:space="preserve">(elle </w:t>
      </w:r>
      <w:r w:rsidRPr="00A66322">
        <w:rPr>
          <w:rFonts w:ascii="Calibri" w:eastAsia="Times New Roman" w:hAnsi="Calibri" w:cs="Calibri"/>
          <w:i/>
          <w:iCs/>
        </w:rPr>
        <w:t>assure simplicité et répercussion rapide de carbones</w:t>
      </w:r>
      <w:r w:rsidRPr="007068E6">
        <w:rPr>
          <w:rFonts w:ascii="Calibri" w:eastAsia="Times New Roman" w:hAnsi="Calibri" w:cs="Calibri"/>
        </w:rPr>
        <w:t xml:space="preserve"> </w:t>
      </w:r>
      <w:r w:rsidRPr="007068E6">
        <w:rPr>
          <w:rFonts w:ascii="Calibri" w:eastAsia="Times New Roman" w:hAnsi="Calibri" w:cs="Calibri"/>
          <w:i/>
          <w:iCs/>
        </w:rPr>
        <w:t>déjà émis</w:t>
      </w:r>
      <w:r>
        <w:rPr>
          <w:rFonts w:ascii="Calibri" w:eastAsia="Times New Roman" w:hAnsi="Calibri" w:cs="Calibri"/>
          <w:i/>
          <w:iCs/>
        </w:rPr>
        <w:t xml:space="preserve"> parfois très en amont</w:t>
      </w:r>
      <w:r w:rsidRPr="007068E6">
        <w:rPr>
          <w:rFonts w:ascii="Calibri" w:eastAsia="Times New Roman" w:hAnsi="Calibri" w:cs="Calibri"/>
          <w:i/>
          <w:iCs/>
        </w:rPr>
        <w:t>)</w:t>
      </w:r>
      <w:r>
        <w:rPr>
          <w:rFonts w:ascii="Calibri" w:eastAsia="Times New Roman" w:hAnsi="Calibri" w:cs="Calibri"/>
          <w:i/>
          <w:iCs/>
        </w:rPr>
        <w:t xml:space="preserve">. </w:t>
      </w:r>
    </w:p>
    <w:p w14:paraId="35ADBE53" w14:textId="77777777" w:rsidR="00AA3544" w:rsidRDefault="001F17A5" w:rsidP="001F17A5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Par exception</w:t>
      </w:r>
      <w:r w:rsidR="00AA3544">
        <w:rPr>
          <w:rFonts w:ascii="Calibri" w:eastAsia="Times New Roman" w:hAnsi="Calibri" w:cs="Calibri"/>
        </w:rPr>
        <w:t> :</w:t>
      </w:r>
      <w:r>
        <w:rPr>
          <w:rFonts w:ascii="Calibri" w:eastAsia="Times New Roman" w:hAnsi="Calibri" w:cs="Calibri"/>
        </w:rPr>
        <w:t xml:space="preserve"> </w:t>
      </w:r>
    </w:p>
    <w:p w14:paraId="44BA1303" w14:textId="170F3DC3" w:rsidR="001F17A5" w:rsidRPr="00AA3544" w:rsidRDefault="00AA3544" w:rsidP="00AA3544">
      <w:pPr>
        <w:pStyle w:val="Paragraphedeliste"/>
        <w:numPr>
          <w:ilvl w:val="0"/>
          <w:numId w:val="16"/>
        </w:numPr>
        <w:jc w:val="both"/>
        <w:rPr>
          <w:rFonts w:ascii="Calibri" w:eastAsia="Times New Roman" w:hAnsi="Calibri" w:cs="Calibri"/>
        </w:rPr>
      </w:pPr>
      <w:r w:rsidRPr="00AA3544">
        <w:rPr>
          <w:rFonts w:ascii="Calibri" w:eastAsia="Times New Roman" w:hAnsi="Calibri" w:cs="Calibri"/>
        </w:rPr>
        <w:t>L</w:t>
      </w:r>
      <w:r w:rsidR="001F17A5" w:rsidRPr="00AA3544">
        <w:rPr>
          <w:rFonts w:ascii="Calibri" w:eastAsia="Times New Roman" w:hAnsi="Calibri" w:cs="Calibri"/>
        </w:rPr>
        <w:t xml:space="preserve">es factures </w:t>
      </w:r>
      <w:r w:rsidR="004B1BAC">
        <w:rPr>
          <w:rFonts w:ascii="Calibri" w:eastAsia="Times New Roman" w:hAnsi="Calibri" w:cs="Calibri"/>
        </w:rPr>
        <w:t xml:space="preserve">significatives </w:t>
      </w:r>
      <w:r w:rsidR="001F17A5" w:rsidRPr="00AA3544">
        <w:rPr>
          <w:rFonts w:ascii="Calibri" w:eastAsia="Times New Roman" w:hAnsi="Calibri" w:cs="Calibri"/>
        </w:rPr>
        <w:t xml:space="preserve">de biens ou services d’équipement peuvent être amorties sur plusieurs exercices </w:t>
      </w:r>
      <w:r w:rsidR="00A66322" w:rsidRPr="00AA3544">
        <w:rPr>
          <w:rFonts w:ascii="Calibri" w:eastAsia="Times New Roman" w:hAnsi="Calibri" w:cs="Calibri"/>
        </w:rPr>
        <w:t xml:space="preserve">dans un compte de bilan carbone </w:t>
      </w:r>
      <w:r w:rsidR="001F17A5" w:rsidRPr="00AA3544">
        <w:rPr>
          <w:rFonts w:ascii="Calibri" w:eastAsia="Times New Roman" w:hAnsi="Calibri" w:cs="Calibri"/>
        </w:rPr>
        <w:t>pour une durée égale ou inférieure à la durée en argent.</w:t>
      </w:r>
    </w:p>
    <w:p w14:paraId="4441474D" w14:textId="50D254D7" w:rsidR="00AA3544" w:rsidRPr="004B1BAC" w:rsidRDefault="00AA3544" w:rsidP="0051141B">
      <w:pPr>
        <w:pStyle w:val="Paragraphedeliste"/>
        <w:numPr>
          <w:ilvl w:val="0"/>
          <w:numId w:val="16"/>
        </w:numPr>
        <w:spacing w:after="0"/>
        <w:jc w:val="both"/>
        <w:rPr>
          <w:rFonts w:ascii="Calibri" w:eastAsia="Times New Roman" w:hAnsi="Calibri" w:cs="Calibri"/>
        </w:rPr>
      </w:pPr>
      <w:r w:rsidRPr="00AA3544">
        <w:rPr>
          <w:rFonts w:ascii="Calibri" w:eastAsia="Times New Roman" w:hAnsi="Calibri" w:cs="Calibri"/>
        </w:rPr>
        <w:t>L’immobilier et les gros travaux sont amortis conventionnellement sur 20 ans, avec une prise en compte forfaitaire des taux d’occupation pour la répercussion des carbones dans les loyers.</w:t>
      </w:r>
    </w:p>
    <w:p w14:paraId="31783D5F" w14:textId="3231BA93" w:rsidR="001F17A5" w:rsidRPr="00F733A4" w:rsidRDefault="001F17A5" w:rsidP="001F17A5">
      <w:pPr>
        <w:jc w:val="both"/>
        <w:rPr>
          <w:rFonts w:ascii="Calibri" w:eastAsia="Times New Roman" w:hAnsi="Calibri" w:cs="Calibri"/>
        </w:rPr>
      </w:pPr>
      <w:r w:rsidRPr="00F733A4">
        <w:rPr>
          <w:rFonts w:ascii="Calibri" w:eastAsia="Times New Roman" w:hAnsi="Calibri" w:cs="Calibri"/>
        </w:rPr>
        <w:t xml:space="preserve">Le </w:t>
      </w:r>
      <w:r w:rsidR="00F403D5">
        <w:rPr>
          <w:rFonts w:ascii="Calibri" w:eastAsia="Times New Roman" w:hAnsi="Calibri" w:cs="Calibri"/>
        </w:rPr>
        <w:t xml:space="preserve">décompte </w:t>
      </w:r>
      <w:r w:rsidRPr="00F733A4">
        <w:rPr>
          <w:rFonts w:ascii="Calibri" w:eastAsia="Times New Roman" w:hAnsi="Calibri" w:cs="Calibri"/>
        </w:rPr>
        <w:t xml:space="preserve">total </w:t>
      </w:r>
      <w:r>
        <w:rPr>
          <w:rFonts w:ascii="Calibri" w:eastAsia="Times New Roman" w:hAnsi="Calibri" w:cs="Calibri"/>
        </w:rPr>
        <w:t xml:space="preserve">des carbones </w:t>
      </w:r>
      <w:r w:rsidR="00F403D5">
        <w:rPr>
          <w:rFonts w:ascii="Calibri" w:eastAsia="Times New Roman" w:hAnsi="Calibri" w:cs="Calibri"/>
        </w:rPr>
        <w:t xml:space="preserve">de l’exercice </w:t>
      </w:r>
      <w:r w:rsidR="0051141B">
        <w:rPr>
          <w:rFonts w:ascii="Calibri" w:eastAsia="Times New Roman" w:hAnsi="Calibri" w:cs="Calibri"/>
        </w:rPr>
        <w:t>donne</w:t>
      </w:r>
      <w:r w:rsidRPr="00F733A4">
        <w:rPr>
          <w:rFonts w:ascii="Calibri" w:eastAsia="Times New Roman" w:hAnsi="Calibri" w:cs="Calibri"/>
        </w:rPr>
        <w:t xml:space="preserve"> l’empreinte carbone annuelle de l’activité.</w:t>
      </w:r>
    </w:p>
    <w:p w14:paraId="1BF8F154" w14:textId="77777777" w:rsidR="001F17A5" w:rsidRDefault="001F17A5" w:rsidP="00E723F9">
      <w:pPr>
        <w:jc w:val="both"/>
        <w:rPr>
          <w:rFonts w:ascii="Calibri" w:eastAsia="Times New Roman" w:hAnsi="Calibri" w:cs="Calibri"/>
        </w:rPr>
      </w:pPr>
    </w:p>
    <w:p w14:paraId="1AD10129" w14:textId="77777777" w:rsidR="006D7DE0" w:rsidRPr="00B66211" w:rsidRDefault="006D7DE0" w:rsidP="00922C10">
      <w:pPr>
        <w:ind w:left="708"/>
        <w:jc w:val="both"/>
        <w:rPr>
          <w:rFonts w:ascii="Calibri" w:eastAsia="Times New Roman" w:hAnsi="Calibri" w:cs="Calibri"/>
          <w:b/>
          <w:bCs/>
        </w:rPr>
      </w:pPr>
      <w:r w:rsidRPr="00B66211">
        <w:rPr>
          <w:rFonts w:ascii="Calibri" w:eastAsia="Times New Roman" w:hAnsi="Calibri" w:cs="Calibri"/>
          <w:b/>
          <w:bCs/>
        </w:rPr>
        <w:t>Les carbones des achats sans PCC</w:t>
      </w:r>
    </w:p>
    <w:p w14:paraId="37F7053E" w14:textId="05831E50" w:rsidR="00D0383E" w:rsidRDefault="00D16412" w:rsidP="006D7DE0">
      <w:pPr>
        <w:jc w:val="both"/>
        <w:rPr>
          <w:rFonts w:ascii="Calibri" w:eastAsia="Times New Roman" w:hAnsi="Calibri" w:cs="Calibri"/>
        </w:rPr>
      </w:pPr>
      <w:r w:rsidRPr="00E723F9">
        <w:rPr>
          <w:rFonts w:ascii="Calibri" w:eastAsia="Times New Roman" w:hAnsi="Calibri" w:cs="Calibri"/>
        </w:rPr>
        <w:lastRenderedPageBreak/>
        <w:t>L</w:t>
      </w:r>
      <w:r w:rsidR="00B7203C" w:rsidRPr="00E723F9">
        <w:rPr>
          <w:rFonts w:ascii="Calibri" w:eastAsia="Times New Roman" w:hAnsi="Calibri" w:cs="Calibri"/>
        </w:rPr>
        <w:t xml:space="preserve">’organisation </w:t>
      </w:r>
      <w:r w:rsidR="00C9061B">
        <w:rPr>
          <w:rFonts w:ascii="Calibri" w:eastAsia="Times New Roman" w:hAnsi="Calibri" w:cs="Calibri"/>
        </w:rPr>
        <w:t xml:space="preserve">peut </w:t>
      </w:r>
      <w:r w:rsidR="00251314" w:rsidRPr="00E723F9">
        <w:rPr>
          <w:rFonts w:ascii="Calibri" w:eastAsia="Times New Roman" w:hAnsi="Calibri" w:cs="Calibri"/>
        </w:rPr>
        <w:t>utilise</w:t>
      </w:r>
      <w:r w:rsidR="00C9061B">
        <w:rPr>
          <w:rFonts w:ascii="Calibri" w:eastAsia="Times New Roman" w:hAnsi="Calibri" w:cs="Calibri"/>
        </w:rPr>
        <w:t>r</w:t>
      </w:r>
      <w:r w:rsidR="00251314" w:rsidRPr="00E723F9">
        <w:rPr>
          <w:rFonts w:ascii="Calibri" w:eastAsia="Times New Roman" w:hAnsi="Calibri" w:cs="Calibri"/>
        </w:rPr>
        <w:t xml:space="preserve"> le FENA hors énergie de son activité </w:t>
      </w:r>
      <w:r w:rsidR="00B7203C" w:rsidRPr="00E723F9">
        <w:rPr>
          <w:rFonts w:ascii="Calibri" w:eastAsia="Times New Roman" w:hAnsi="Calibri" w:cs="Calibri"/>
        </w:rPr>
        <w:t>avec</w:t>
      </w:r>
      <w:r w:rsidR="00DB524D">
        <w:rPr>
          <w:rFonts w:ascii="Calibri" w:eastAsia="Times New Roman" w:hAnsi="Calibri" w:cs="Calibri"/>
        </w:rPr>
        <w:t>,</w:t>
      </w:r>
      <w:r w:rsidR="00B7203C" w:rsidRPr="00E723F9">
        <w:rPr>
          <w:rFonts w:ascii="Calibri" w:eastAsia="Times New Roman" w:hAnsi="Calibri" w:cs="Calibri"/>
        </w:rPr>
        <w:t xml:space="preserve"> pour certaines activités</w:t>
      </w:r>
      <w:r w:rsidR="00DB524D">
        <w:rPr>
          <w:rFonts w:ascii="Calibri" w:eastAsia="Times New Roman" w:hAnsi="Calibri" w:cs="Calibri"/>
        </w:rPr>
        <w:t>,</w:t>
      </w:r>
      <w:r w:rsidR="00B7203C" w:rsidRPr="00E723F9">
        <w:rPr>
          <w:rFonts w:ascii="Calibri" w:eastAsia="Times New Roman" w:hAnsi="Calibri" w:cs="Calibri"/>
        </w:rPr>
        <w:t xml:space="preserve"> l’obligation </w:t>
      </w:r>
      <w:r w:rsidR="00251314" w:rsidRPr="00E723F9">
        <w:rPr>
          <w:rFonts w:ascii="Calibri" w:eastAsia="Times New Roman" w:hAnsi="Calibri" w:cs="Calibri"/>
        </w:rPr>
        <w:t xml:space="preserve">de compter séparément </w:t>
      </w:r>
      <w:r w:rsidR="00A411E9">
        <w:rPr>
          <w:rFonts w:ascii="Calibri" w:eastAsia="Times New Roman" w:hAnsi="Calibri" w:cs="Calibri"/>
        </w:rPr>
        <w:t xml:space="preserve">les </w:t>
      </w:r>
      <w:r w:rsidR="00251314" w:rsidRPr="00E723F9">
        <w:rPr>
          <w:rFonts w:ascii="Calibri" w:eastAsia="Times New Roman" w:hAnsi="Calibri" w:cs="Calibri"/>
        </w:rPr>
        <w:t>achats significatifs</w:t>
      </w:r>
      <w:r w:rsidR="007E3E9B">
        <w:rPr>
          <w:rFonts w:ascii="Calibri" w:eastAsia="Times New Roman" w:hAnsi="Calibri" w:cs="Calibri"/>
        </w:rPr>
        <w:t>**</w:t>
      </w:r>
      <w:r w:rsidR="00251314" w:rsidRPr="00E723F9">
        <w:rPr>
          <w:rFonts w:ascii="Calibri" w:eastAsia="Times New Roman" w:hAnsi="Calibri" w:cs="Calibri"/>
        </w:rPr>
        <w:t xml:space="preserve"> en carbone pour </w:t>
      </w:r>
      <w:r w:rsidR="00B7203C" w:rsidRPr="00E723F9">
        <w:rPr>
          <w:rFonts w:ascii="Calibri" w:eastAsia="Times New Roman" w:hAnsi="Calibri" w:cs="Calibri"/>
        </w:rPr>
        <w:t xml:space="preserve">cette </w:t>
      </w:r>
      <w:r w:rsidR="00251314" w:rsidRPr="00E723F9">
        <w:rPr>
          <w:rFonts w:ascii="Calibri" w:eastAsia="Times New Roman" w:hAnsi="Calibri" w:cs="Calibri"/>
        </w:rPr>
        <w:t xml:space="preserve">activité </w:t>
      </w:r>
      <w:r w:rsidR="00B7203C" w:rsidRPr="00E723F9">
        <w:rPr>
          <w:rFonts w:ascii="Calibri" w:eastAsia="Times New Roman" w:hAnsi="Calibri" w:cs="Calibri"/>
        </w:rPr>
        <w:t xml:space="preserve">et </w:t>
      </w:r>
      <w:r w:rsidR="00251314" w:rsidRPr="00E723F9">
        <w:rPr>
          <w:rFonts w:ascii="Calibri" w:eastAsia="Times New Roman" w:hAnsi="Calibri" w:cs="Calibri"/>
        </w:rPr>
        <w:t>de leur attribuer leur FENA.</w:t>
      </w:r>
      <w:r w:rsidR="00573C66" w:rsidRPr="00E723F9">
        <w:rPr>
          <w:rFonts w:ascii="Calibri" w:eastAsia="Times New Roman" w:hAnsi="Calibri" w:cs="Calibri"/>
        </w:rPr>
        <w:t xml:space="preserve"> (</w:t>
      </w:r>
      <w:r w:rsidR="00573C66" w:rsidRPr="00943659">
        <w:rPr>
          <w:rFonts w:ascii="Calibri" w:eastAsia="Times New Roman" w:hAnsi="Calibri" w:cs="Calibri"/>
          <w:i/>
          <w:iCs/>
        </w:rPr>
        <w:t>Cette méthode simple répercute tous les carbones nationaux sans antisélection</w:t>
      </w:r>
      <w:r w:rsidR="003805D5">
        <w:rPr>
          <w:rFonts w:ascii="Calibri" w:eastAsia="Times New Roman" w:hAnsi="Calibri" w:cs="Calibri"/>
        </w:rPr>
        <w:t>.)</w:t>
      </w:r>
      <w:r w:rsidR="00742ACA">
        <w:rPr>
          <w:rFonts w:ascii="Calibri" w:eastAsia="Times New Roman" w:hAnsi="Calibri" w:cs="Calibri"/>
        </w:rPr>
        <w:t xml:space="preserve"> </w:t>
      </w:r>
    </w:p>
    <w:p w14:paraId="412721CE" w14:textId="6AC2384E" w:rsidR="00573C66" w:rsidRPr="00E723F9" w:rsidRDefault="00573C66" w:rsidP="00B66211">
      <w:pPr>
        <w:jc w:val="both"/>
        <w:rPr>
          <w:rFonts w:ascii="Calibri" w:eastAsia="Times New Roman" w:hAnsi="Calibri" w:cs="Calibri"/>
        </w:rPr>
      </w:pPr>
      <w:r w:rsidRPr="00E723F9">
        <w:rPr>
          <w:rFonts w:ascii="Calibri" w:eastAsia="Times New Roman" w:hAnsi="Calibri" w:cs="Calibri"/>
        </w:rPr>
        <w:t xml:space="preserve">L’organisation peut aussi rattacher </w:t>
      </w:r>
      <w:r w:rsidR="00BA7807" w:rsidRPr="00E723F9">
        <w:rPr>
          <w:rFonts w:ascii="Calibri" w:eastAsia="Times New Roman" w:hAnsi="Calibri" w:cs="Calibri"/>
        </w:rPr>
        <w:t xml:space="preserve">chaque achat </w:t>
      </w:r>
      <w:r w:rsidR="001F00DF">
        <w:rPr>
          <w:rFonts w:ascii="Calibri" w:eastAsia="Times New Roman" w:hAnsi="Calibri" w:cs="Calibri"/>
        </w:rPr>
        <w:t>au</w:t>
      </w:r>
      <w:r w:rsidR="00BA7807" w:rsidRPr="00E723F9">
        <w:rPr>
          <w:rFonts w:ascii="Calibri" w:eastAsia="Times New Roman" w:hAnsi="Calibri" w:cs="Calibri"/>
        </w:rPr>
        <w:t xml:space="preserve"> FENA</w:t>
      </w:r>
      <w:r w:rsidR="001F00DF">
        <w:rPr>
          <w:rFonts w:ascii="Calibri" w:eastAsia="Times New Roman" w:hAnsi="Calibri" w:cs="Calibri"/>
        </w:rPr>
        <w:t xml:space="preserve"> de l’achat</w:t>
      </w:r>
      <w:r w:rsidR="00BA7807" w:rsidRPr="00E723F9">
        <w:rPr>
          <w:rFonts w:ascii="Calibri" w:eastAsia="Times New Roman" w:hAnsi="Calibri" w:cs="Calibri"/>
        </w:rPr>
        <w:t>.</w:t>
      </w:r>
    </w:p>
    <w:p w14:paraId="647B8228" w14:textId="0C4252E3" w:rsidR="00DE247F" w:rsidRPr="00E723F9" w:rsidRDefault="00251314" w:rsidP="00B66211">
      <w:pPr>
        <w:jc w:val="both"/>
        <w:rPr>
          <w:rFonts w:ascii="Calibri" w:eastAsia="Times New Roman" w:hAnsi="Calibri" w:cs="Calibri"/>
        </w:rPr>
      </w:pPr>
      <w:r w:rsidRPr="00E723F9">
        <w:rPr>
          <w:rFonts w:ascii="Calibri" w:eastAsia="Times New Roman" w:hAnsi="Calibri" w:cs="Calibri"/>
        </w:rPr>
        <w:t xml:space="preserve">Après la période de lancement </w:t>
      </w:r>
      <w:r w:rsidR="008B1CCB" w:rsidRPr="008B1CCB">
        <w:rPr>
          <w:rFonts w:ascii="Calibri" w:eastAsia="Times New Roman" w:hAnsi="Calibri" w:cs="Calibri"/>
          <w:i/>
          <w:iCs/>
        </w:rPr>
        <w:t>(</w:t>
      </w:r>
      <w:r w:rsidRPr="008B1CCB">
        <w:rPr>
          <w:rFonts w:ascii="Calibri" w:eastAsia="Times New Roman" w:hAnsi="Calibri" w:cs="Calibri"/>
          <w:i/>
          <w:iCs/>
        </w:rPr>
        <w:t>3 ans ?</w:t>
      </w:r>
      <w:r w:rsidR="008B1CCB" w:rsidRPr="008B1CCB">
        <w:rPr>
          <w:rFonts w:ascii="Calibri" w:eastAsia="Times New Roman" w:hAnsi="Calibri" w:cs="Calibri"/>
          <w:i/>
          <w:iCs/>
        </w:rPr>
        <w:t>)</w:t>
      </w:r>
      <w:r w:rsidRPr="00E723F9">
        <w:rPr>
          <w:rFonts w:ascii="Calibri" w:eastAsia="Times New Roman" w:hAnsi="Calibri" w:cs="Calibri"/>
        </w:rPr>
        <w:t xml:space="preserve"> un coefficient de prudence </w:t>
      </w:r>
      <w:r w:rsidR="00B870F3" w:rsidRPr="00E723F9">
        <w:rPr>
          <w:rFonts w:ascii="Calibri" w:eastAsia="Times New Roman" w:hAnsi="Calibri" w:cs="Calibri"/>
        </w:rPr>
        <w:t xml:space="preserve">comptable </w:t>
      </w:r>
      <w:r w:rsidRPr="00E723F9">
        <w:rPr>
          <w:rFonts w:ascii="Calibri" w:eastAsia="Times New Roman" w:hAnsi="Calibri" w:cs="Calibri"/>
        </w:rPr>
        <w:t>est a</w:t>
      </w:r>
      <w:r w:rsidR="003D3072">
        <w:rPr>
          <w:rFonts w:ascii="Calibri" w:eastAsia="Times New Roman" w:hAnsi="Calibri" w:cs="Calibri"/>
        </w:rPr>
        <w:t>ppliqu</w:t>
      </w:r>
      <w:r w:rsidRPr="00E723F9">
        <w:rPr>
          <w:rFonts w:ascii="Calibri" w:eastAsia="Times New Roman" w:hAnsi="Calibri" w:cs="Calibri"/>
        </w:rPr>
        <w:t xml:space="preserve">é au FENA </w:t>
      </w:r>
      <w:r w:rsidR="00014112" w:rsidRPr="00E723F9">
        <w:rPr>
          <w:rFonts w:ascii="Calibri" w:eastAsia="Times New Roman" w:hAnsi="Calibri" w:cs="Calibri"/>
        </w:rPr>
        <w:t xml:space="preserve">pour </w:t>
      </w:r>
      <w:r w:rsidR="00B870F3" w:rsidRPr="00E723F9">
        <w:rPr>
          <w:rFonts w:ascii="Calibri" w:eastAsia="Times New Roman" w:hAnsi="Calibri" w:cs="Calibri"/>
        </w:rPr>
        <w:t>l’</w:t>
      </w:r>
      <w:r w:rsidRPr="00E723F9">
        <w:rPr>
          <w:rFonts w:ascii="Calibri" w:eastAsia="Times New Roman" w:hAnsi="Calibri" w:cs="Calibri"/>
        </w:rPr>
        <w:t>estim</w:t>
      </w:r>
      <w:r w:rsidR="00B7203C" w:rsidRPr="00E723F9">
        <w:rPr>
          <w:rFonts w:ascii="Calibri" w:eastAsia="Times New Roman" w:hAnsi="Calibri" w:cs="Calibri"/>
        </w:rPr>
        <w:t>ation</w:t>
      </w:r>
      <w:r w:rsidR="00E62841" w:rsidRPr="00E723F9">
        <w:rPr>
          <w:rFonts w:ascii="Calibri" w:eastAsia="Times New Roman" w:hAnsi="Calibri" w:cs="Calibri"/>
        </w:rPr>
        <w:t xml:space="preserve"> </w:t>
      </w:r>
      <w:r w:rsidR="00E62841" w:rsidRPr="00742ACA">
        <w:rPr>
          <w:rFonts w:ascii="Calibri" w:eastAsia="Times New Roman" w:hAnsi="Calibri" w:cs="Calibri"/>
          <w:i/>
          <w:iCs/>
        </w:rPr>
        <w:t>(un poids caché au client est supposé plus lourd que la moyenne et</w:t>
      </w:r>
      <w:r w:rsidR="007338CC" w:rsidRPr="00742ACA">
        <w:rPr>
          <w:rFonts w:ascii="Calibri" w:eastAsia="Times New Roman" w:hAnsi="Calibri" w:cs="Calibri"/>
          <w:i/>
          <w:iCs/>
        </w:rPr>
        <w:t xml:space="preserve"> </w:t>
      </w:r>
      <w:r w:rsidR="00920BF5">
        <w:rPr>
          <w:rFonts w:ascii="Calibri" w:eastAsia="Times New Roman" w:hAnsi="Calibri" w:cs="Calibri"/>
          <w:i/>
          <w:iCs/>
        </w:rPr>
        <w:t xml:space="preserve">le coefficient </w:t>
      </w:r>
      <w:r w:rsidRPr="00742ACA">
        <w:rPr>
          <w:rFonts w:ascii="Calibri" w:eastAsia="Times New Roman" w:hAnsi="Calibri" w:cs="Calibri"/>
          <w:i/>
          <w:iCs/>
        </w:rPr>
        <w:t>cré</w:t>
      </w:r>
      <w:r w:rsidR="007338CC" w:rsidRPr="00742ACA">
        <w:rPr>
          <w:rFonts w:ascii="Calibri" w:eastAsia="Times New Roman" w:hAnsi="Calibri" w:cs="Calibri"/>
          <w:i/>
          <w:iCs/>
        </w:rPr>
        <w:t>e</w:t>
      </w:r>
      <w:r w:rsidRPr="00742ACA">
        <w:rPr>
          <w:rFonts w:ascii="Calibri" w:eastAsia="Times New Roman" w:hAnsi="Calibri" w:cs="Calibri"/>
          <w:i/>
          <w:iCs/>
        </w:rPr>
        <w:t xml:space="preserve"> un intérêt commun à la transparence du vendeur et de l’acheteur</w:t>
      </w:r>
      <w:r w:rsidR="007338CC" w:rsidRPr="00742ACA">
        <w:rPr>
          <w:rFonts w:ascii="Calibri" w:eastAsia="Times New Roman" w:hAnsi="Calibri" w:cs="Calibri"/>
          <w:i/>
          <w:iCs/>
        </w:rPr>
        <w:t>)</w:t>
      </w:r>
      <w:r w:rsidR="00231CF3" w:rsidRPr="00E723F9">
        <w:rPr>
          <w:rFonts w:ascii="Calibri" w:eastAsia="Times New Roman" w:hAnsi="Calibri" w:cs="Calibri"/>
        </w:rPr>
        <w:t>.</w:t>
      </w:r>
    </w:p>
    <w:p w14:paraId="70EE52B8" w14:textId="4161445C" w:rsidR="001F1BA0" w:rsidRPr="00E723F9" w:rsidRDefault="00367D1A" w:rsidP="00F403D5">
      <w:pPr>
        <w:ind w:left="708"/>
        <w:jc w:val="both"/>
        <w:rPr>
          <w:rFonts w:ascii="Calibri" w:eastAsia="Times New Roman" w:hAnsi="Calibri" w:cs="Calibri"/>
        </w:rPr>
      </w:pPr>
      <w:r w:rsidRPr="00E723F9">
        <w:rPr>
          <w:rFonts w:ascii="Calibri" w:eastAsia="Times New Roman" w:hAnsi="Calibri" w:cs="Calibri"/>
        </w:rPr>
        <w:t xml:space="preserve">** </w:t>
      </w:r>
      <w:r w:rsidR="00B45AAD">
        <w:rPr>
          <w:rFonts w:ascii="Calibri" w:eastAsia="Times New Roman" w:hAnsi="Calibri" w:cs="Calibri"/>
        </w:rPr>
        <w:t>U</w:t>
      </w:r>
      <w:r w:rsidR="00530A84">
        <w:rPr>
          <w:rFonts w:ascii="Calibri" w:eastAsia="Times New Roman" w:hAnsi="Calibri" w:cs="Calibri"/>
        </w:rPr>
        <w:t>n</w:t>
      </w:r>
      <w:r w:rsidR="0036530E" w:rsidRPr="00E723F9">
        <w:rPr>
          <w:rFonts w:ascii="Calibri" w:eastAsia="Times New Roman" w:hAnsi="Calibri" w:cs="Calibri"/>
        </w:rPr>
        <w:t xml:space="preserve"> type </w:t>
      </w:r>
      <w:r w:rsidR="008A2548">
        <w:rPr>
          <w:rFonts w:ascii="Calibri" w:eastAsia="Times New Roman" w:hAnsi="Calibri" w:cs="Calibri"/>
        </w:rPr>
        <w:t xml:space="preserve">d’achats </w:t>
      </w:r>
      <w:r w:rsidR="00160372">
        <w:rPr>
          <w:rFonts w:ascii="Calibri" w:eastAsia="Times New Roman" w:hAnsi="Calibri" w:cs="Calibri"/>
        </w:rPr>
        <w:t xml:space="preserve">est </w:t>
      </w:r>
      <w:r w:rsidR="008A2548">
        <w:rPr>
          <w:rFonts w:ascii="Calibri" w:eastAsia="Times New Roman" w:hAnsi="Calibri" w:cs="Calibri"/>
        </w:rPr>
        <w:t>significatif</w:t>
      </w:r>
      <w:r w:rsidR="00530A84">
        <w:rPr>
          <w:rFonts w:ascii="Calibri" w:eastAsia="Times New Roman" w:hAnsi="Calibri" w:cs="Calibri"/>
        </w:rPr>
        <w:t> </w:t>
      </w:r>
      <w:r w:rsidR="00160372">
        <w:rPr>
          <w:rFonts w:ascii="Calibri" w:eastAsia="Times New Roman" w:hAnsi="Calibri" w:cs="Calibri"/>
        </w:rPr>
        <w:t>s’il</w:t>
      </w:r>
      <w:r w:rsidR="00530A84">
        <w:rPr>
          <w:rFonts w:ascii="Calibri" w:eastAsia="Times New Roman" w:hAnsi="Calibri" w:cs="Calibri"/>
        </w:rPr>
        <w:t xml:space="preserve"> </w:t>
      </w:r>
      <w:r w:rsidR="0036530E" w:rsidRPr="00E723F9">
        <w:rPr>
          <w:rFonts w:ascii="Calibri" w:eastAsia="Times New Roman" w:hAnsi="Calibri" w:cs="Calibri"/>
        </w:rPr>
        <w:t xml:space="preserve">représente </w:t>
      </w:r>
      <w:r w:rsidRPr="00E723F9">
        <w:rPr>
          <w:rFonts w:ascii="Calibri" w:eastAsia="Times New Roman" w:hAnsi="Calibri" w:cs="Calibri"/>
        </w:rPr>
        <w:t>une proportion importante des carbone</w:t>
      </w:r>
      <w:r w:rsidR="00D068BC">
        <w:rPr>
          <w:rFonts w:ascii="Calibri" w:eastAsia="Times New Roman" w:hAnsi="Calibri" w:cs="Calibri"/>
        </w:rPr>
        <w:t>s</w:t>
      </w:r>
      <w:r w:rsidRPr="00E723F9">
        <w:rPr>
          <w:rFonts w:ascii="Calibri" w:eastAsia="Times New Roman" w:hAnsi="Calibri" w:cs="Calibri"/>
        </w:rPr>
        <w:t xml:space="preserve"> </w:t>
      </w:r>
      <w:r w:rsidR="00573BE8" w:rsidRPr="00E723F9">
        <w:rPr>
          <w:rFonts w:ascii="Calibri" w:eastAsia="Times New Roman" w:hAnsi="Calibri" w:cs="Calibri"/>
        </w:rPr>
        <w:t xml:space="preserve">des achats hors énergie </w:t>
      </w:r>
      <w:r w:rsidRPr="00E723F9">
        <w:rPr>
          <w:rFonts w:ascii="Calibri" w:eastAsia="Times New Roman" w:hAnsi="Calibri" w:cs="Calibri"/>
        </w:rPr>
        <w:t xml:space="preserve">de l'activité ; </w:t>
      </w:r>
      <w:r w:rsidR="000048F1">
        <w:rPr>
          <w:rFonts w:ascii="Calibri" w:eastAsia="Times New Roman" w:hAnsi="Calibri" w:cs="Calibri"/>
        </w:rPr>
        <w:t xml:space="preserve">et </w:t>
      </w:r>
      <w:r w:rsidR="00160372">
        <w:rPr>
          <w:rFonts w:ascii="Calibri" w:eastAsia="Times New Roman" w:hAnsi="Calibri" w:cs="Calibri"/>
        </w:rPr>
        <w:t xml:space="preserve">si </w:t>
      </w:r>
      <w:r w:rsidR="0036530E" w:rsidRPr="00E723F9">
        <w:rPr>
          <w:rFonts w:ascii="Calibri" w:eastAsia="Times New Roman" w:hAnsi="Calibri" w:cs="Calibri"/>
        </w:rPr>
        <w:t xml:space="preserve">son </w:t>
      </w:r>
      <w:r w:rsidR="001F2A5F" w:rsidRPr="00E723F9">
        <w:rPr>
          <w:rFonts w:ascii="Calibri" w:eastAsia="Times New Roman" w:hAnsi="Calibri" w:cs="Calibri"/>
        </w:rPr>
        <w:t xml:space="preserve">FENA est </w:t>
      </w:r>
      <w:r w:rsidRPr="00E723F9">
        <w:rPr>
          <w:rFonts w:ascii="Calibri" w:eastAsia="Times New Roman" w:hAnsi="Calibri" w:cs="Calibri"/>
        </w:rPr>
        <w:t xml:space="preserve">élevé par rapport au </w:t>
      </w:r>
      <w:r w:rsidR="00165DDD" w:rsidRPr="00E723F9">
        <w:rPr>
          <w:rFonts w:ascii="Calibri" w:eastAsia="Times New Roman" w:hAnsi="Calibri" w:cs="Calibri"/>
        </w:rPr>
        <w:t xml:space="preserve">FENA </w:t>
      </w:r>
      <w:r w:rsidR="006419BD" w:rsidRPr="00E723F9">
        <w:rPr>
          <w:rFonts w:ascii="Calibri" w:eastAsia="Times New Roman" w:hAnsi="Calibri" w:cs="Calibri"/>
        </w:rPr>
        <w:t xml:space="preserve">hors énergie </w:t>
      </w:r>
      <w:r w:rsidRPr="00E723F9">
        <w:rPr>
          <w:rFonts w:ascii="Calibri" w:eastAsia="Times New Roman" w:hAnsi="Calibri" w:cs="Calibri"/>
        </w:rPr>
        <w:t>de l'activité.</w:t>
      </w:r>
    </w:p>
    <w:p w14:paraId="604ED195" w14:textId="77777777" w:rsidR="00B870F3" w:rsidRPr="00E723F9" w:rsidRDefault="00B870F3" w:rsidP="00E723F9">
      <w:pPr>
        <w:jc w:val="both"/>
        <w:rPr>
          <w:rFonts w:ascii="Calibri" w:eastAsia="Times New Roman" w:hAnsi="Calibri" w:cs="Calibri"/>
        </w:rPr>
      </w:pPr>
    </w:p>
    <w:p w14:paraId="0066C560" w14:textId="5BC68C94" w:rsidR="00683050" w:rsidRPr="00E723F9" w:rsidRDefault="00683050" w:rsidP="00E723F9">
      <w:pPr>
        <w:pStyle w:val="Paragraphedeliste"/>
        <w:spacing w:after="0"/>
        <w:jc w:val="both"/>
        <w:rPr>
          <w:rFonts w:ascii="Calibri" w:eastAsia="Times New Roman" w:hAnsi="Calibri" w:cs="Calibri"/>
          <w:b/>
          <w:bCs/>
        </w:rPr>
      </w:pPr>
      <w:r w:rsidRPr="00E723F9">
        <w:rPr>
          <w:rFonts w:ascii="Calibri" w:eastAsia="Times New Roman" w:hAnsi="Calibri" w:cs="Calibri"/>
          <w:b/>
          <w:bCs/>
        </w:rPr>
        <w:t>La répercussion des carbones</w:t>
      </w:r>
    </w:p>
    <w:p w14:paraId="6194BB8C" w14:textId="7047180C" w:rsidR="000C25EB" w:rsidRPr="001F538A" w:rsidRDefault="000C25EB" w:rsidP="000C25EB">
      <w:pPr>
        <w:jc w:val="both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>L’organisation</w:t>
      </w:r>
      <w:r w:rsidRPr="000C25EB">
        <w:rPr>
          <w:rFonts w:ascii="Calibri" w:eastAsia="Times New Roman" w:hAnsi="Calibri" w:cs="Calibri"/>
        </w:rPr>
        <w:t xml:space="preserve"> </w:t>
      </w:r>
      <w:r w:rsidR="00A6096A">
        <w:rPr>
          <w:rFonts w:ascii="Calibri" w:eastAsia="Times New Roman" w:hAnsi="Calibri" w:cs="Calibri"/>
        </w:rPr>
        <w:t xml:space="preserve">associe </w:t>
      </w:r>
      <w:proofErr w:type="spellStart"/>
      <w:proofErr w:type="gramStart"/>
      <w:r w:rsidR="00B075D0">
        <w:rPr>
          <w:rFonts w:ascii="Calibri" w:eastAsia="Times New Roman" w:hAnsi="Calibri" w:cs="Calibri"/>
        </w:rPr>
        <w:t>a</w:t>
      </w:r>
      <w:proofErr w:type="spellEnd"/>
      <w:proofErr w:type="gramEnd"/>
      <w:r w:rsidR="00B075D0">
        <w:rPr>
          <w:rFonts w:ascii="Calibri" w:eastAsia="Times New Roman" w:hAnsi="Calibri" w:cs="Calibri"/>
        </w:rPr>
        <w:t xml:space="preserve"> son ou ses activités son </w:t>
      </w:r>
      <w:r w:rsidR="00B075D0" w:rsidRPr="000C25EB">
        <w:rPr>
          <w:rFonts w:ascii="Calibri" w:eastAsia="Times New Roman" w:hAnsi="Calibri" w:cs="Calibri"/>
        </w:rPr>
        <w:t xml:space="preserve">facteur d’émission (FE) </w:t>
      </w:r>
      <w:r w:rsidR="00B075D0">
        <w:rPr>
          <w:rFonts w:ascii="Calibri" w:eastAsia="Times New Roman" w:hAnsi="Calibri" w:cs="Calibri"/>
        </w:rPr>
        <w:t xml:space="preserve">de l’exercice, </w:t>
      </w:r>
      <w:r w:rsidR="00DD23C5">
        <w:rPr>
          <w:rFonts w:ascii="Calibri" w:eastAsia="Times New Roman" w:hAnsi="Calibri" w:cs="Calibri"/>
        </w:rPr>
        <w:t xml:space="preserve">égal à l’empreinte de l’exercice </w:t>
      </w:r>
      <w:r w:rsidR="00936EED">
        <w:rPr>
          <w:rFonts w:ascii="Calibri" w:eastAsia="Times New Roman" w:hAnsi="Calibri" w:cs="Calibri"/>
        </w:rPr>
        <w:t xml:space="preserve">divisée par </w:t>
      </w:r>
      <w:r w:rsidR="00936EED">
        <w:rPr>
          <w:rFonts w:ascii="Calibri" w:eastAsia="Times New Roman" w:hAnsi="Calibri" w:cs="Calibri"/>
        </w:rPr>
        <w:t>la valeur sortante de la même année</w:t>
      </w:r>
      <w:r w:rsidR="00936EED">
        <w:rPr>
          <w:rFonts w:ascii="Calibri" w:eastAsia="Times New Roman" w:hAnsi="Calibri" w:cs="Calibri"/>
        </w:rPr>
        <w:t xml:space="preserve"> : </w:t>
      </w:r>
      <w:r w:rsidR="00936EED" w:rsidRPr="00E723F9">
        <w:rPr>
          <w:rFonts w:ascii="Calibri" w:eastAsia="Times New Roman" w:hAnsi="Calibri" w:cs="Calibri"/>
        </w:rPr>
        <w:t xml:space="preserve">chiffre d’affaires </w:t>
      </w:r>
      <w:r w:rsidR="00936EED">
        <w:rPr>
          <w:rFonts w:ascii="Calibri" w:eastAsia="Times New Roman" w:hAnsi="Calibri" w:cs="Calibri"/>
        </w:rPr>
        <w:t xml:space="preserve">ou </w:t>
      </w:r>
      <w:r w:rsidR="00936EED" w:rsidRPr="00E723F9">
        <w:rPr>
          <w:rFonts w:ascii="Calibri" w:eastAsia="Times New Roman" w:hAnsi="Calibri" w:cs="Calibri"/>
        </w:rPr>
        <w:t>total des dépenses pour une activité non marchande</w:t>
      </w:r>
      <w:r w:rsidR="00936EED">
        <w:rPr>
          <w:rFonts w:ascii="Calibri" w:eastAsia="Times New Roman" w:hAnsi="Calibri" w:cs="Calibri"/>
        </w:rPr>
        <w:t>.</w:t>
      </w:r>
      <w:r w:rsidR="00D44BC7">
        <w:rPr>
          <w:rFonts w:ascii="Calibri" w:eastAsia="Times New Roman" w:hAnsi="Calibri" w:cs="Calibri"/>
        </w:rPr>
        <w:t xml:space="preserve"> </w:t>
      </w:r>
      <w:r w:rsidR="00D44BC7" w:rsidRPr="000A542D">
        <w:rPr>
          <w:rFonts w:ascii="Calibri" w:eastAsia="Times New Roman" w:hAnsi="Calibri" w:cs="Calibri"/>
          <w:i/>
          <w:iCs/>
        </w:rPr>
        <w:t>(</w:t>
      </w:r>
      <w:r w:rsidR="00D44BC7" w:rsidRPr="000A542D">
        <w:rPr>
          <w:rFonts w:ascii="Calibri" w:eastAsia="Times New Roman" w:hAnsi="Calibri" w:cs="Calibri"/>
          <w:i/>
          <w:iCs/>
        </w:rPr>
        <w:t>C</w:t>
      </w:r>
      <w:r w:rsidR="00D44BC7" w:rsidRPr="000A542D">
        <w:rPr>
          <w:rFonts w:ascii="Calibri" w:eastAsia="Times New Roman" w:hAnsi="Calibri" w:cs="Calibri"/>
          <w:i/>
          <w:iCs/>
        </w:rPr>
        <w:t>’</w:t>
      </w:r>
      <w:r w:rsidR="00D44BC7" w:rsidRPr="000A542D">
        <w:rPr>
          <w:rFonts w:ascii="Calibri" w:eastAsia="Times New Roman" w:hAnsi="Calibri" w:cs="Calibri"/>
          <w:i/>
          <w:iCs/>
        </w:rPr>
        <w:t>e</w:t>
      </w:r>
      <w:r w:rsidR="00D44BC7" w:rsidRPr="000A542D">
        <w:rPr>
          <w:rFonts w:ascii="Calibri" w:eastAsia="Times New Roman" w:hAnsi="Calibri" w:cs="Calibri"/>
          <w:i/>
          <w:iCs/>
        </w:rPr>
        <w:t xml:space="preserve">st donc </w:t>
      </w:r>
      <w:r w:rsidR="00D44BC7" w:rsidRPr="000A542D">
        <w:rPr>
          <w:rFonts w:ascii="Calibri" w:eastAsia="Times New Roman" w:hAnsi="Calibri" w:cs="Calibri"/>
          <w:i/>
          <w:iCs/>
        </w:rPr>
        <w:t>la quantité des carbones nécessaires pour produire une unité monétaire de l’activité</w:t>
      </w:r>
      <w:r w:rsidR="000A542D" w:rsidRPr="000A542D">
        <w:rPr>
          <w:rFonts w:ascii="Calibri" w:eastAsia="Times New Roman" w:hAnsi="Calibri" w:cs="Calibri"/>
          <w:i/>
          <w:iCs/>
        </w:rPr>
        <w:t>.</w:t>
      </w:r>
      <w:r w:rsidR="00D44BC7" w:rsidRPr="000A542D">
        <w:rPr>
          <w:rFonts w:ascii="Calibri" w:eastAsia="Times New Roman" w:hAnsi="Calibri" w:cs="Calibri"/>
          <w:i/>
          <w:iCs/>
        </w:rPr>
        <w:t>)</w:t>
      </w:r>
      <w:r w:rsidR="001F538A">
        <w:rPr>
          <w:rFonts w:ascii="Calibri" w:eastAsia="Times New Roman" w:hAnsi="Calibri" w:cs="Calibri"/>
          <w:i/>
          <w:iCs/>
        </w:rPr>
        <w:t xml:space="preserve"> </w:t>
      </w:r>
      <w:r w:rsidR="002F7FC8">
        <w:rPr>
          <w:rFonts w:ascii="Calibri" w:eastAsia="Times New Roman" w:hAnsi="Calibri" w:cs="Calibri"/>
        </w:rPr>
        <w:t xml:space="preserve">Elle </w:t>
      </w:r>
      <w:r w:rsidRPr="000C25EB">
        <w:rPr>
          <w:rFonts w:ascii="Calibri" w:eastAsia="Times New Roman" w:hAnsi="Calibri" w:cs="Calibri"/>
        </w:rPr>
        <w:t xml:space="preserve">répercute aux clients (sur la facture) ou aux utilisateurs un PCC égal au produit du montant facturé par le </w:t>
      </w:r>
      <w:r w:rsidR="00C744DD">
        <w:rPr>
          <w:rFonts w:ascii="Calibri" w:eastAsia="Times New Roman" w:hAnsi="Calibri" w:cs="Calibri"/>
        </w:rPr>
        <w:t xml:space="preserve">FE </w:t>
      </w:r>
      <w:r w:rsidRPr="000C25EB">
        <w:rPr>
          <w:rFonts w:ascii="Calibri" w:eastAsia="Times New Roman" w:hAnsi="Calibri" w:cs="Calibri"/>
        </w:rPr>
        <w:t>de l’activité la dernière année connue. </w:t>
      </w:r>
    </w:p>
    <w:p w14:paraId="34BF94BE" w14:textId="77777777" w:rsidR="00BC0930" w:rsidRPr="005A773B" w:rsidRDefault="00BC0930" w:rsidP="00E723F9">
      <w:pPr>
        <w:jc w:val="both"/>
        <w:rPr>
          <w:rFonts w:ascii="Calibri" w:eastAsia="Times New Roman" w:hAnsi="Calibri" w:cs="Calibri"/>
        </w:rPr>
      </w:pPr>
    </w:p>
    <w:p w14:paraId="4D86A968" w14:textId="7C8512AB" w:rsidR="00725705" w:rsidRPr="00E723F9" w:rsidRDefault="001522B0" w:rsidP="00E723F9">
      <w:pPr>
        <w:pStyle w:val="Paragraphedeliste"/>
        <w:spacing w:after="0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Cas particulier des </w:t>
      </w:r>
      <w:r w:rsidR="005B7483">
        <w:rPr>
          <w:rFonts w:ascii="Calibri" w:eastAsia="Times New Roman" w:hAnsi="Calibri" w:cs="Calibri"/>
          <w:b/>
          <w:bCs/>
        </w:rPr>
        <w:t>a</w:t>
      </w:r>
      <w:r w:rsidR="00DE247F" w:rsidRPr="00E723F9">
        <w:rPr>
          <w:rFonts w:ascii="Calibri" w:eastAsia="Times New Roman" w:hAnsi="Calibri" w:cs="Calibri"/>
          <w:b/>
          <w:bCs/>
        </w:rPr>
        <w:t>ctivités commerciales</w:t>
      </w:r>
    </w:p>
    <w:p w14:paraId="43BBAF81" w14:textId="266C73DA" w:rsidR="00DE247F" w:rsidRPr="00E723F9" w:rsidRDefault="004B0AD5" w:rsidP="00E723F9">
      <w:pPr>
        <w:jc w:val="both"/>
        <w:rPr>
          <w:rFonts w:ascii="Calibri" w:eastAsia="Times New Roman" w:hAnsi="Calibri" w:cs="Calibri"/>
        </w:rPr>
      </w:pPr>
      <w:r w:rsidRPr="00E723F9">
        <w:rPr>
          <w:rFonts w:ascii="Calibri" w:eastAsia="Times New Roman" w:hAnsi="Calibri" w:cs="Calibri"/>
        </w:rPr>
        <w:t>Le</w:t>
      </w:r>
      <w:r w:rsidR="00EB3A9D">
        <w:rPr>
          <w:rFonts w:ascii="Calibri" w:eastAsia="Times New Roman" w:hAnsi="Calibri" w:cs="Calibri"/>
        </w:rPr>
        <w:t xml:space="preserve"> </w:t>
      </w:r>
      <w:r w:rsidR="00AA1D70">
        <w:rPr>
          <w:rFonts w:ascii="Calibri" w:eastAsia="Times New Roman" w:hAnsi="Calibri" w:cs="Calibri"/>
        </w:rPr>
        <w:t>FE</w:t>
      </w:r>
      <w:r w:rsidR="00E70007">
        <w:rPr>
          <w:rFonts w:ascii="Calibri" w:eastAsia="Times New Roman" w:hAnsi="Calibri" w:cs="Calibri"/>
        </w:rPr>
        <w:t xml:space="preserve"> </w:t>
      </w:r>
      <w:r w:rsidR="00EB3A9D">
        <w:rPr>
          <w:rFonts w:ascii="Calibri" w:eastAsia="Times New Roman" w:hAnsi="Calibri" w:cs="Calibri"/>
        </w:rPr>
        <w:t>d’</w:t>
      </w:r>
      <w:r w:rsidR="00DE247F" w:rsidRPr="00E723F9">
        <w:rPr>
          <w:rFonts w:ascii="Calibri" w:eastAsia="Times New Roman" w:hAnsi="Calibri" w:cs="Calibri"/>
        </w:rPr>
        <w:t>une activité commerciale</w:t>
      </w:r>
      <w:r w:rsidRPr="00E723F9">
        <w:rPr>
          <w:rFonts w:ascii="Calibri" w:eastAsia="Times New Roman" w:hAnsi="Calibri" w:cs="Calibri"/>
        </w:rPr>
        <w:t xml:space="preserve"> </w:t>
      </w:r>
      <w:r w:rsidR="00EB3A9D">
        <w:rPr>
          <w:rFonts w:ascii="Calibri" w:eastAsia="Times New Roman" w:hAnsi="Calibri" w:cs="Calibri"/>
        </w:rPr>
        <w:t>est l</w:t>
      </w:r>
      <w:r w:rsidR="00CC2EB5">
        <w:rPr>
          <w:rFonts w:ascii="Calibri" w:eastAsia="Times New Roman" w:hAnsi="Calibri" w:cs="Calibri"/>
        </w:rPr>
        <w:t xml:space="preserve">a division </w:t>
      </w:r>
      <w:r w:rsidR="00EB3A9D">
        <w:rPr>
          <w:rFonts w:ascii="Calibri" w:eastAsia="Times New Roman" w:hAnsi="Calibri" w:cs="Calibri"/>
        </w:rPr>
        <w:t xml:space="preserve">des carbones </w:t>
      </w:r>
      <w:r w:rsidR="000E05FD">
        <w:rPr>
          <w:rFonts w:ascii="Calibri" w:eastAsia="Times New Roman" w:hAnsi="Calibri" w:cs="Calibri"/>
        </w:rPr>
        <w:t xml:space="preserve">nécessaires à l’activité </w:t>
      </w:r>
      <w:r w:rsidR="004B610C">
        <w:rPr>
          <w:rFonts w:ascii="Calibri" w:eastAsia="Times New Roman" w:hAnsi="Calibri" w:cs="Calibri"/>
        </w:rPr>
        <w:t xml:space="preserve">commerciale </w:t>
      </w:r>
      <w:r w:rsidR="00CC2EB5">
        <w:rPr>
          <w:rFonts w:ascii="Calibri" w:eastAsia="Times New Roman" w:hAnsi="Calibri" w:cs="Calibri"/>
        </w:rPr>
        <w:t>par le</w:t>
      </w:r>
      <w:r w:rsidR="00BA7AF5">
        <w:rPr>
          <w:rFonts w:ascii="Calibri" w:eastAsia="Times New Roman" w:hAnsi="Calibri" w:cs="Calibri"/>
        </w:rPr>
        <w:t xml:space="preserve"> CA total HT. Le PCC transmis au client </w:t>
      </w:r>
      <w:r w:rsidR="007227A6">
        <w:rPr>
          <w:rFonts w:ascii="Calibri" w:eastAsia="Times New Roman" w:hAnsi="Calibri" w:cs="Calibri"/>
        </w:rPr>
        <w:t xml:space="preserve">est la somme du PCC du fournisseur et </w:t>
      </w:r>
      <w:r w:rsidR="00CC7C04">
        <w:rPr>
          <w:rFonts w:ascii="Calibri" w:eastAsia="Times New Roman" w:hAnsi="Calibri" w:cs="Calibri"/>
        </w:rPr>
        <w:t xml:space="preserve">du produit </w:t>
      </w:r>
      <w:r w:rsidR="000E05FD">
        <w:rPr>
          <w:rFonts w:ascii="Calibri" w:eastAsia="Times New Roman" w:hAnsi="Calibri" w:cs="Calibri"/>
        </w:rPr>
        <w:t xml:space="preserve">du </w:t>
      </w:r>
      <w:r w:rsidR="00AA1D70">
        <w:rPr>
          <w:rFonts w:ascii="Calibri" w:eastAsia="Times New Roman" w:hAnsi="Calibri" w:cs="Calibri"/>
        </w:rPr>
        <w:t>FE</w:t>
      </w:r>
      <w:r w:rsidR="00E70007">
        <w:rPr>
          <w:rFonts w:ascii="Calibri" w:eastAsia="Times New Roman" w:hAnsi="Calibri" w:cs="Calibri"/>
        </w:rPr>
        <w:t xml:space="preserve"> </w:t>
      </w:r>
      <w:r w:rsidR="00774951">
        <w:rPr>
          <w:rFonts w:ascii="Calibri" w:eastAsia="Times New Roman" w:hAnsi="Calibri" w:cs="Calibri"/>
        </w:rPr>
        <w:t xml:space="preserve">commercial </w:t>
      </w:r>
      <w:r w:rsidR="00DE75FC">
        <w:rPr>
          <w:rFonts w:ascii="Calibri" w:eastAsia="Times New Roman" w:hAnsi="Calibri" w:cs="Calibri"/>
        </w:rPr>
        <w:t xml:space="preserve">par le </w:t>
      </w:r>
      <w:r w:rsidR="00CC7C04">
        <w:rPr>
          <w:rFonts w:ascii="Calibri" w:eastAsia="Times New Roman" w:hAnsi="Calibri" w:cs="Calibri"/>
        </w:rPr>
        <w:t>prix HT</w:t>
      </w:r>
      <w:r w:rsidR="00DE247F" w:rsidRPr="00E723F9">
        <w:rPr>
          <w:rFonts w:ascii="Calibri" w:eastAsia="Times New Roman" w:hAnsi="Calibri" w:cs="Calibri"/>
        </w:rPr>
        <w:t>.</w:t>
      </w:r>
      <w:r w:rsidR="005768AB">
        <w:rPr>
          <w:rFonts w:ascii="Calibri" w:eastAsia="Times New Roman" w:hAnsi="Calibri" w:cs="Calibri"/>
        </w:rPr>
        <w:t xml:space="preserve"> Il n’est transmis que si le fournisseur a transmis</w:t>
      </w:r>
      <w:r w:rsidR="00AA1D70">
        <w:rPr>
          <w:rFonts w:ascii="Calibri" w:eastAsia="Times New Roman" w:hAnsi="Calibri" w:cs="Calibri"/>
        </w:rPr>
        <w:t xml:space="preserve"> son propre PCC</w:t>
      </w:r>
      <w:r w:rsidR="005768AB">
        <w:rPr>
          <w:rFonts w:ascii="Calibri" w:eastAsia="Times New Roman" w:hAnsi="Calibri" w:cs="Calibri"/>
        </w:rPr>
        <w:t>.</w:t>
      </w:r>
    </w:p>
    <w:p w14:paraId="420F1E67" w14:textId="77777777" w:rsidR="00C56701" w:rsidRPr="00E723F9" w:rsidRDefault="00C56701" w:rsidP="00E723F9">
      <w:pPr>
        <w:jc w:val="both"/>
        <w:rPr>
          <w:rFonts w:ascii="Calibri" w:eastAsia="Times New Roman" w:hAnsi="Calibri" w:cs="Calibri"/>
        </w:rPr>
      </w:pPr>
    </w:p>
    <w:p w14:paraId="06691785" w14:textId="4330B87A" w:rsidR="002C3FB5" w:rsidRPr="00A4509D" w:rsidRDefault="00342605" w:rsidP="00A4509D">
      <w:pPr>
        <w:pStyle w:val="Paragraphedeliste"/>
        <w:numPr>
          <w:ilvl w:val="0"/>
          <w:numId w:val="14"/>
        </w:numPr>
        <w:jc w:val="both"/>
        <w:rPr>
          <w:rStyle w:val="lev"/>
          <w:rFonts w:ascii="Calibri" w:eastAsia="Times New Roman" w:hAnsi="Calibri" w:cs="Calibri"/>
        </w:rPr>
      </w:pPr>
      <w:r w:rsidRPr="00A4509D">
        <w:rPr>
          <w:rFonts w:ascii="Calibri" w:eastAsia="Times New Roman" w:hAnsi="Calibri" w:cs="Calibri"/>
          <w:b/>
          <w:bCs/>
        </w:rPr>
        <w:t xml:space="preserve">Règles de </w:t>
      </w:r>
      <w:r w:rsidR="005B7483" w:rsidRPr="00A4509D">
        <w:rPr>
          <w:rFonts w:ascii="Calibri" w:eastAsia="Times New Roman" w:hAnsi="Calibri" w:cs="Calibri"/>
          <w:b/>
          <w:bCs/>
        </w:rPr>
        <w:t>mesure</w:t>
      </w:r>
      <w:r w:rsidRPr="00A4509D">
        <w:rPr>
          <w:rFonts w:ascii="Calibri" w:eastAsia="Times New Roman" w:hAnsi="Calibri" w:cs="Calibri"/>
          <w:b/>
          <w:bCs/>
        </w:rPr>
        <w:t xml:space="preserve"> de la </w:t>
      </w:r>
      <w:r w:rsidR="006F0BC4" w:rsidRPr="00A4509D">
        <w:rPr>
          <w:rFonts w:ascii="Calibri" w:eastAsia="Times New Roman" w:hAnsi="Calibri" w:cs="Calibri"/>
          <w:b/>
          <w:bCs/>
        </w:rPr>
        <w:t>C</w:t>
      </w:r>
      <w:r w:rsidRPr="00A4509D">
        <w:rPr>
          <w:rFonts w:ascii="Calibri" w:eastAsia="Times New Roman" w:hAnsi="Calibri" w:cs="Calibri"/>
          <w:b/>
          <w:bCs/>
        </w:rPr>
        <w:t xml:space="preserve">ontribution </w:t>
      </w:r>
      <w:r w:rsidR="006F0BC4" w:rsidRPr="00A4509D">
        <w:rPr>
          <w:rStyle w:val="lev"/>
          <w:rFonts w:ascii="Calibri" w:eastAsiaTheme="majorEastAsia" w:hAnsi="Calibri" w:cs="Calibri"/>
        </w:rPr>
        <w:t>C</w:t>
      </w:r>
      <w:r w:rsidR="002C3FB5" w:rsidRPr="00A4509D">
        <w:rPr>
          <w:rStyle w:val="lev"/>
          <w:rFonts w:ascii="Calibri" w:eastAsiaTheme="majorEastAsia" w:hAnsi="Calibri" w:cs="Calibri"/>
        </w:rPr>
        <w:t xml:space="preserve">omptable à la </w:t>
      </w:r>
      <w:r w:rsidR="006F0BC4" w:rsidRPr="00A4509D">
        <w:rPr>
          <w:rStyle w:val="lev"/>
          <w:rFonts w:ascii="Calibri" w:eastAsiaTheme="majorEastAsia" w:hAnsi="Calibri" w:cs="Calibri"/>
        </w:rPr>
        <w:t>D</w:t>
      </w:r>
      <w:r w:rsidR="002C3FB5" w:rsidRPr="00A4509D">
        <w:rPr>
          <w:rStyle w:val="lev"/>
          <w:rFonts w:ascii="Calibri" w:eastAsiaTheme="majorEastAsia" w:hAnsi="Calibri" w:cs="Calibri"/>
        </w:rPr>
        <w:t xml:space="preserve">écarbonation </w:t>
      </w:r>
    </w:p>
    <w:p w14:paraId="5B32D707" w14:textId="2657A43D" w:rsidR="002C3FB5" w:rsidRPr="0088585B" w:rsidRDefault="002C3FB5" w:rsidP="002C3FB5">
      <w:pPr>
        <w:jc w:val="both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</w:rPr>
        <w:t>L</w:t>
      </w:r>
      <w:r w:rsidRPr="009E2EC4">
        <w:rPr>
          <w:rFonts w:ascii="Calibri" w:eastAsia="Times New Roman" w:hAnsi="Calibri" w:cs="Calibri"/>
        </w:rPr>
        <w:t xml:space="preserve">a seconde performance comptable </w:t>
      </w:r>
      <w:r>
        <w:rPr>
          <w:rFonts w:ascii="Calibri" w:eastAsia="Times New Roman" w:hAnsi="Calibri" w:cs="Calibri"/>
        </w:rPr>
        <w:t xml:space="preserve">d’une organisation </w:t>
      </w:r>
      <w:r w:rsidRPr="009E2EC4">
        <w:rPr>
          <w:rFonts w:ascii="Calibri" w:eastAsia="Times New Roman" w:hAnsi="Calibri" w:cs="Calibri"/>
        </w:rPr>
        <w:t>est l’évolution d'une année à l'autre</w:t>
      </w:r>
      <w:r w:rsidR="004C0A40">
        <w:rPr>
          <w:rFonts w:ascii="Calibri" w:eastAsia="Times New Roman" w:hAnsi="Calibri" w:cs="Calibri"/>
        </w:rPr>
        <w:t xml:space="preserve"> </w:t>
      </w:r>
      <w:r w:rsidRPr="009E2EC4">
        <w:rPr>
          <w:rFonts w:ascii="Calibri" w:eastAsia="Times New Roman" w:hAnsi="Calibri" w:cs="Calibri"/>
        </w:rPr>
        <w:t>de sa Contribution Comptable à la Décarbonation (CCD)</w:t>
      </w:r>
      <w:r w:rsidR="00E1303F">
        <w:rPr>
          <w:rFonts w:ascii="Calibri" w:eastAsia="Times New Roman" w:hAnsi="Calibri" w:cs="Calibri"/>
        </w:rPr>
        <w:t xml:space="preserve"> pour son ou ses activités de l’année</w:t>
      </w:r>
      <w:r w:rsidRPr="009E2EC4">
        <w:rPr>
          <w:rFonts w:ascii="Calibri" w:eastAsia="Times New Roman" w:hAnsi="Calibri" w:cs="Calibri"/>
        </w:rPr>
        <w:t>.</w:t>
      </w:r>
      <w:r w:rsidR="0050122C">
        <w:rPr>
          <w:rFonts w:ascii="Calibri" w:eastAsia="Times New Roman" w:hAnsi="Calibri" w:cs="Calibri"/>
        </w:rPr>
        <w:t xml:space="preserve"> </w:t>
      </w:r>
      <w:r w:rsidR="00E1303F">
        <w:rPr>
          <w:rFonts w:ascii="Calibri" w:eastAsia="Times New Roman" w:hAnsi="Calibri" w:cs="Calibri"/>
        </w:rPr>
        <w:t xml:space="preserve">La </w:t>
      </w:r>
      <w:r w:rsidR="0050122C">
        <w:rPr>
          <w:rFonts w:ascii="Calibri" w:eastAsia="Times New Roman" w:hAnsi="Calibri" w:cs="Calibri"/>
        </w:rPr>
        <w:t xml:space="preserve">CCD </w:t>
      </w:r>
      <w:r w:rsidR="0088585B">
        <w:rPr>
          <w:rFonts w:ascii="Calibri" w:eastAsia="Times New Roman" w:hAnsi="Calibri" w:cs="Calibri"/>
        </w:rPr>
        <w:t xml:space="preserve">d’une activité </w:t>
      </w:r>
      <w:r w:rsidR="003D2F0C">
        <w:rPr>
          <w:rFonts w:ascii="Calibri" w:eastAsia="Times New Roman" w:hAnsi="Calibri" w:cs="Calibri"/>
        </w:rPr>
        <w:t xml:space="preserve">est </w:t>
      </w:r>
      <w:r w:rsidR="0088585B">
        <w:rPr>
          <w:rFonts w:ascii="Calibri" w:eastAsia="Times New Roman" w:hAnsi="Calibri" w:cs="Calibri"/>
        </w:rPr>
        <w:t>s</w:t>
      </w:r>
      <w:r w:rsidRPr="009E2EC4">
        <w:rPr>
          <w:rFonts w:ascii="Calibri" w:eastAsia="Times New Roman" w:hAnsi="Calibri" w:cs="Calibri"/>
        </w:rPr>
        <w:t xml:space="preserve">a contribution à la variation d’une année sur l’autre du flux </w:t>
      </w:r>
      <w:r w:rsidR="0017442E">
        <w:rPr>
          <w:rFonts w:ascii="Calibri" w:eastAsia="Times New Roman" w:hAnsi="Calibri" w:cs="Calibri"/>
        </w:rPr>
        <w:t>net</w:t>
      </w:r>
      <w:r w:rsidRPr="009E2EC4">
        <w:rPr>
          <w:rFonts w:ascii="Calibri" w:eastAsia="Times New Roman" w:hAnsi="Calibri" w:cs="Calibri"/>
        </w:rPr>
        <w:t xml:space="preserve"> de </w:t>
      </w:r>
      <w:r>
        <w:rPr>
          <w:rFonts w:ascii="Calibri" w:eastAsia="Times New Roman" w:hAnsi="Calibri" w:cs="Calibri"/>
        </w:rPr>
        <w:t xml:space="preserve">carbones </w:t>
      </w:r>
      <w:r w:rsidRPr="009E2EC4">
        <w:rPr>
          <w:rFonts w:ascii="Calibri" w:eastAsia="Times New Roman" w:hAnsi="Calibri" w:cs="Calibri"/>
        </w:rPr>
        <w:t>vers l’atmosphère</w:t>
      </w:r>
      <w:r w:rsidR="00624EAB">
        <w:rPr>
          <w:rFonts w:ascii="Calibri" w:eastAsia="Times New Roman" w:hAnsi="Calibri" w:cs="Calibri"/>
        </w:rPr>
        <w:t xml:space="preserve">. </w:t>
      </w:r>
      <w:r w:rsidR="00DC6102" w:rsidRPr="0088585B">
        <w:rPr>
          <w:rFonts w:ascii="Calibri" w:eastAsia="Times New Roman" w:hAnsi="Calibri" w:cs="Calibri"/>
          <w:i/>
          <w:iCs/>
        </w:rPr>
        <w:t xml:space="preserve">(C’est la même définition que pour la décarbonation d’un pays ou de </w:t>
      </w:r>
      <w:proofErr w:type="spellStart"/>
      <w:r w:rsidR="00DC6102" w:rsidRPr="0088585B">
        <w:rPr>
          <w:rFonts w:ascii="Calibri" w:eastAsia="Times New Roman" w:hAnsi="Calibri" w:cs="Calibri"/>
          <w:i/>
          <w:iCs/>
        </w:rPr>
        <w:t>la</w:t>
      </w:r>
      <w:proofErr w:type="spellEnd"/>
      <w:r w:rsidR="00DC6102" w:rsidRPr="0088585B">
        <w:rPr>
          <w:rFonts w:ascii="Calibri" w:eastAsia="Times New Roman" w:hAnsi="Calibri" w:cs="Calibri"/>
          <w:i/>
          <w:iCs/>
        </w:rPr>
        <w:t xml:space="preserve"> planète</w:t>
      </w:r>
      <w:r w:rsidR="005B4835" w:rsidRPr="0088585B">
        <w:rPr>
          <w:rFonts w:ascii="Calibri" w:eastAsia="Times New Roman" w:hAnsi="Calibri" w:cs="Calibri"/>
          <w:i/>
          <w:iCs/>
        </w:rPr>
        <w:t>.)</w:t>
      </w:r>
      <w:r w:rsidR="00DC6102" w:rsidRPr="0088585B">
        <w:rPr>
          <w:rFonts w:ascii="Calibri" w:eastAsia="Times New Roman" w:hAnsi="Calibri" w:cs="Calibri"/>
          <w:i/>
          <w:iCs/>
        </w:rPr>
        <w:t xml:space="preserve"> </w:t>
      </w:r>
    </w:p>
    <w:p w14:paraId="60645C3F" w14:textId="77777777" w:rsidR="005B4835" w:rsidRPr="009E2EC4" w:rsidRDefault="005B4835" w:rsidP="002C3FB5">
      <w:pPr>
        <w:jc w:val="both"/>
        <w:rPr>
          <w:rFonts w:ascii="Calibri" w:eastAsia="Times New Roman" w:hAnsi="Calibri" w:cs="Calibri"/>
        </w:rPr>
      </w:pPr>
    </w:p>
    <w:p w14:paraId="666B67AD" w14:textId="65B3AB5C" w:rsidR="002C3FB5" w:rsidRPr="009E2EC4" w:rsidRDefault="0028134E" w:rsidP="002C3FB5">
      <w:pPr>
        <w:jc w:val="both"/>
        <w:rPr>
          <w:rFonts w:ascii="Calibri" w:eastAsia="Times New Roman" w:hAnsi="Calibri" w:cs="Calibri"/>
        </w:rPr>
      </w:pPr>
      <w:r w:rsidRPr="009E2EC4">
        <w:rPr>
          <w:rFonts w:ascii="Calibri" w:eastAsia="Times New Roman" w:hAnsi="Calibri" w:cs="Calibri"/>
        </w:rPr>
        <w:t xml:space="preserve">La MCE </w:t>
      </w:r>
      <w:r>
        <w:rPr>
          <w:rFonts w:ascii="Calibri" w:eastAsia="Times New Roman" w:hAnsi="Calibri" w:cs="Calibri"/>
        </w:rPr>
        <w:t xml:space="preserve">donne au comptable </w:t>
      </w:r>
      <w:r w:rsidRPr="009E2EC4">
        <w:rPr>
          <w:rFonts w:ascii="Calibri" w:eastAsia="Times New Roman" w:hAnsi="Calibri" w:cs="Calibri"/>
        </w:rPr>
        <w:t xml:space="preserve">la CCD </w:t>
      </w:r>
      <w:r>
        <w:rPr>
          <w:rFonts w:ascii="Calibri" w:eastAsia="Times New Roman" w:hAnsi="Calibri" w:cs="Calibri"/>
        </w:rPr>
        <w:t xml:space="preserve">nette </w:t>
      </w:r>
      <w:r w:rsidRPr="009E2EC4">
        <w:rPr>
          <w:rFonts w:ascii="Calibri" w:eastAsia="Times New Roman" w:hAnsi="Calibri" w:cs="Calibri"/>
        </w:rPr>
        <w:t xml:space="preserve">de </w:t>
      </w:r>
      <w:r>
        <w:rPr>
          <w:rFonts w:ascii="Calibri" w:eastAsia="Times New Roman" w:hAnsi="Calibri" w:cs="Calibri"/>
        </w:rPr>
        <w:t xml:space="preserve">la seule </w:t>
      </w:r>
      <w:r w:rsidRPr="009E2EC4">
        <w:rPr>
          <w:rFonts w:ascii="Calibri" w:eastAsia="Times New Roman" w:hAnsi="Calibri" w:cs="Calibri"/>
        </w:rPr>
        <w:t>organisation.</w:t>
      </w:r>
      <w:r w:rsidR="000C421F">
        <w:rPr>
          <w:rFonts w:ascii="Calibri" w:eastAsia="Times New Roman" w:hAnsi="Calibri" w:cs="Calibri"/>
        </w:rPr>
        <w:t xml:space="preserve"> </w:t>
      </w:r>
      <w:r w:rsidR="000C421F" w:rsidRPr="00166E0C">
        <w:rPr>
          <w:rFonts w:ascii="Calibri" w:eastAsia="Times New Roman" w:hAnsi="Calibri" w:cs="Calibri"/>
          <w:i/>
          <w:iCs/>
        </w:rPr>
        <w:t>(</w:t>
      </w:r>
      <w:r w:rsidR="00912293">
        <w:rPr>
          <w:rFonts w:ascii="Calibri" w:eastAsia="Times New Roman" w:hAnsi="Calibri" w:cs="Calibri"/>
          <w:i/>
          <w:iCs/>
        </w:rPr>
        <w:t xml:space="preserve">On est sinon </w:t>
      </w:r>
      <w:proofErr w:type="spellStart"/>
      <w:r w:rsidR="00912293">
        <w:rPr>
          <w:rFonts w:ascii="Calibri" w:eastAsia="Times New Roman" w:hAnsi="Calibri" w:cs="Calibri"/>
          <w:i/>
          <w:iCs/>
        </w:rPr>
        <w:t>réduiit</w:t>
      </w:r>
      <w:proofErr w:type="spellEnd"/>
      <w:r w:rsidR="00912293">
        <w:rPr>
          <w:rFonts w:ascii="Calibri" w:eastAsia="Times New Roman" w:hAnsi="Calibri" w:cs="Calibri"/>
          <w:i/>
          <w:iCs/>
        </w:rPr>
        <w:t xml:space="preserve"> à suivre l</w:t>
      </w:r>
      <w:r w:rsidR="00865456" w:rsidRPr="00166E0C">
        <w:rPr>
          <w:rFonts w:ascii="Calibri" w:eastAsia="Times New Roman" w:hAnsi="Calibri" w:cs="Calibri"/>
          <w:i/>
          <w:iCs/>
        </w:rPr>
        <w:t>’</w:t>
      </w:r>
      <w:r w:rsidR="003C66B2" w:rsidRPr="00166E0C">
        <w:rPr>
          <w:rFonts w:ascii="Calibri" w:eastAsia="Times New Roman" w:hAnsi="Calibri" w:cs="Calibri"/>
          <w:i/>
          <w:iCs/>
        </w:rPr>
        <w:t xml:space="preserve">évolution </w:t>
      </w:r>
      <w:r w:rsidR="00865456" w:rsidRPr="00166E0C">
        <w:rPr>
          <w:rFonts w:ascii="Calibri" w:eastAsia="Times New Roman" w:hAnsi="Calibri" w:cs="Calibri"/>
          <w:i/>
          <w:iCs/>
        </w:rPr>
        <w:t xml:space="preserve">de l’empreinte </w:t>
      </w:r>
      <w:r w:rsidR="002C3FB5" w:rsidRPr="00166E0C">
        <w:rPr>
          <w:rFonts w:ascii="Calibri" w:eastAsia="Times New Roman" w:hAnsi="Calibri" w:cs="Calibri"/>
          <w:i/>
          <w:iCs/>
        </w:rPr>
        <w:t>d’une année à l’autre</w:t>
      </w:r>
      <w:r w:rsidR="007E7BCE" w:rsidRPr="00166E0C">
        <w:rPr>
          <w:rFonts w:ascii="Calibri" w:eastAsia="Times New Roman" w:hAnsi="Calibri" w:cs="Calibri"/>
          <w:i/>
          <w:iCs/>
        </w:rPr>
        <w:t xml:space="preserve"> </w:t>
      </w:r>
      <w:r w:rsidR="00912293">
        <w:rPr>
          <w:rFonts w:ascii="Calibri" w:eastAsia="Times New Roman" w:hAnsi="Calibri" w:cs="Calibri"/>
          <w:i/>
          <w:iCs/>
        </w:rPr>
        <w:t xml:space="preserve">qui </w:t>
      </w:r>
      <w:r w:rsidR="002C3FB5" w:rsidRPr="00166E0C">
        <w:rPr>
          <w:rFonts w:ascii="Calibri" w:eastAsia="Times New Roman" w:hAnsi="Calibri" w:cs="Calibri"/>
          <w:i/>
          <w:iCs/>
        </w:rPr>
        <w:t xml:space="preserve">mélange les contributions </w:t>
      </w:r>
      <w:r w:rsidR="00D12851" w:rsidRPr="00166E0C">
        <w:rPr>
          <w:rFonts w:ascii="Calibri" w:eastAsia="Times New Roman" w:hAnsi="Calibri" w:cs="Calibri"/>
          <w:i/>
          <w:iCs/>
        </w:rPr>
        <w:t>d</w:t>
      </w:r>
      <w:r w:rsidR="001331FA" w:rsidRPr="00166E0C">
        <w:rPr>
          <w:rFonts w:ascii="Calibri" w:eastAsia="Times New Roman" w:hAnsi="Calibri" w:cs="Calibri"/>
          <w:i/>
          <w:iCs/>
        </w:rPr>
        <w:t>e</w:t>
      </w:r>
      <w:r w:rsidR="002C3FB5" w:rsidRPr="00166E0C">
        <w:rPr>
          <w:rFonts w:ascii="Calibri" w:eastAsia="Times New Roman" w:hAnsi="Calibri" w:cs="Calibri"/>
          <w:i/>
          <w:iCs/>
        </w:rPr>
        <w:t>s chaines de fournisseurs en amont et</w:t>
      </w:r>
      <w:r w:rsidR="00743BCC" w:rsidRPr="00166E0C">
        <w:rPr>
          <w:rFonts w:ascii="Calibri" w:eastAsia="Times New Roman" w:hAnsi="Calibri" w:cs="Calibri"/>
          <w:i/>
          <w:iCs/>
        </w:rPr>
        <w:t xml:space="preserve"> </w:t>
      </w:r>
      <w:r w:rsidR="00912293">
        <w:rPr>
          <w:rFonts w:ascii="Calibri" w:eastAsia="Times New Roman" w:hAnsi="Calibri" w:cs="Calibri"/>
          <w:i/>
          <w:iCs/>
        </w:rPr>
        <w:t xml:space="preserve">celle </w:t>
      </w:r>
      <w:r w:rsidR="00D12851" w:rsidRPr="00166E0C">
        <w:rPr>
          <w:rFonts w:ascii="Calibri" w:eastAsia="Times New Roman" w:hAnsi="Calibri" w:cs="Calibri"/>
          <w:i/>
          <w:iCs/>
        </w:rPr>
        <w:t>d</w:t>
      </w:r>
      <w:r w:rsidR="002C3FB5" w:rsidRPr="00166E0C">
        <w:rPr>
          <w:rFonts w:ascii="Calibri" w:eastAsia="Times New Roman" w:hAnsi="Calibri" w:cs="Calibri"/>
          <w:i/>
          <w:iCs/>
        </w:rPr>
        <w:t>es clients</w:t>
      </w:r>
      <w:r w:rsidR="00912293">
        <w:rPr>
          <w:rFonts w:ascii="Calibri" w:eastAsia="Times New Roman" w:hAnsi="Calibri" w:cs="Calibri"/>
          <w:i/>
          <w:iCs/>
        </w:rPr>
        <w:t>, puisque</w:t>
      </w:r>
      <w:r w:rsidR="00166E0C">
        <w:rPr>
          <w:rFonts w:ascii="Calibri" w:eastAsia="Times New Roman" w:hAnsi="Calibri" w:cs="Calibri"/>
        </w:rPr>
        <w:t xml:space="preserve"> </w:t>
      </w:r>
      <w:r w:rsidR="002C3FB5" w:rsidRPr="00BF5DD0">
        <w:rPr>
          <w:rFonts w:ascii="Calibri" w:eastAsia="Times New Roman" w:hAnsi="Calibri" w:cs="Calibri"/>
          <w:i/>
          <w:iCs/>
        </w:rPr>
        <w:t xml:space="preserve">quand la production de l’organisation </w:t>
      </w:r>
      <w:r w:rsidR="00577044" w:rsidRPr="00BF5DD0">
        <w:rPr>
          <w:rFonts w:ascii="Calibri" w:eastAsia="Times New Roman" w:hAnsi="Calibri" w:cs="Calibri"/>
          <w:i/>
          <w:iCs/>
        </w:rPr>
        <w:t>vari</w:t>
      </w:r>
      <w:r w:rsidR="002C3FB5" w:rsidRPr="00BF5DD0">
        <w:rPr>
          <w:rFonts w:ascii="Calibri" w:eastAsia="Times New Roman" w:hAnsi="Calibri" w:cs="Calibri"/>
          <w:i/>
          <w:iCs/>
        </w:rPr>
        <w:t>e</w:t>
      </w:r>
      <w:r w:rsidR="00577044" w:rsidRPr="00BF5DD0">
        <w:rPr>
          <w:rFonts w:ascii="Calibri" w:eastAsia="Times New Roman" w:hAnsi="Calibri" w:cs="Calibri"/>
          <w:i/>
          <w:iCs/>
        </w:rPr>
        <w:t>,</w:t>
      </w:r>
      <w:r w:rsidR="002C3FB5" w:rsidRPr="00BF5DD0">
        <w:rPr>
          <w:rFonts w:ascii="Calibri" w:eastAsia="Times New Roman" w:hAnsi="Calibri" w:cs="Calibri"/>
          <w:i/>
          <w:iCs/>
        </w:rPr>
        <w:t> </w:t>
      </w:r>
      <w:r w:rsidR="00577044" w:rsidRPr="00BF5DD0">
        <w:rPr>
          <w:rFonts w:ascii="Calibri" w:eastAsia="Times New Roman" w:hAnsi="Calibri" w:cs="Calibri"/>
          <w:i/>
          <w:iCs/>
        </w:rPr>
        <w:t>c’</w:t>
      </w:r>
      <w:r w:rsidR="002C3FB5" w:rsidRPr="00BF5DD0">
        <w:rPr>
          <w:rFonts w:ascii="Calibri" w:eastAsia="Times New Roman" w:hAnsi="Calibri" w:cs="Calibri"/>
          <w:i/>
          <w:iCs/>
        </w:rPr>
        <w:t>est</w:t>
      </w:r>
      <w:r w:rsidR="00577044" w:rsidRPr="00BF5DD0">
        <w:rPr>
          <w:rFonts w:ascii="Calibri" w:eastAsia="Times New Roman" w:hAnsi="Calibri" w:cs="Calibri"/>
          <w:i/>
          <w:iCs/>
        </w:rPr>
        <w:t xml:space="preserve"> </w:t>
      </w:r>
      <w:r w:rsidR="00166E0C">
        <w:rPr>
          <w:rFonts w:ascii="Calibri" w:eastAsia="Times New Roman" w:hAnsi="Calibri" w:cs="Calibri"/>
          <w:i/>
          <w:iCs/>
        </w:rPr>
        <w:t xml:space="preserve">à la fois </w:t>
      </w:r>
      <w:r w:rsidR="00577044" w:rsidRPr="00BF5DD0">
        <w:rPr>
          <w:rFonts w:ascii="Calibri" w:eastAsia="Times New Roman" w:hAnsi="Calibri" w:cs="Calibri"/>
          <w:i/>
          <w:iCs/>
        </w:rPr>
        <w:t xml:space="preserve">de son fait et du fait </w:t>
      </w:r>
      <w:r w:rsidR="002C3FB5" w:rsidRPr="00BF5DD0">
        <w:rPr>
          <w:rFonts w:ascii="Calibri" w:eastAsia="Times New Roman" w:hAnsi="Calibri" w:cs="Calibri"/>
          <w:i/>
          <w:iCs/>
        </w:rPr>
        <w:t>de</w:t>
      </w:r>
      <w:r w:rsidR="000630E0">
        <w:rPr>
          <w:rFonts w:ascii="Calibri" w:eastAsia="Times New Roman" w:hAnsi="Calibri" w:cs="Calibri"/>
          <w:i/>
          <w:iCs/>
        </w:rPr>
        <w:t xml:space="preserve"> ses</w:t>
      </w:r>
      <w:r w:rsidR="002C3FB5" w:rsidRPr="00BF5DD0">
        <w:rPr>
          <w:rFonts w:ascii="Calibri" w:eastAsia="Times New Roman" w:hAnsi="Calibri" w:cs="Calibri"/>
          <w:i/>
          <w:iCs/>
        </w:rPr>
        <w:t xml:space="preserve"> clients)</w:t>
      </w:r>
      <w:r w:rsidR="002C3FB5" w:rsidRPr="009E2EC4">
        <w:rPr>
          <w:rFonts w:ascii="Calibri" w:eastAsia="Times New Roman" w:hAnsi="Calibri" w:cs="Calibri"/>
        </w:rPr>
        <w:t>.</w:t>
      </w:r>
      <w:r w:rsidR="00417DEE">
        <w:rPr>
          <w:rFonts w:ascii="Calibri" w:eastAsia="Times New Roman" w:hAnsi="Calibri" w:cs="Calibri"/>
        </w:rPr>
        <w:t xml:space="preserve"> </w:t>
      </w:r>
    </w:p>
    <w:p w14:paraId="417534AF" w14:textId="77777777" w:rsidR="002C3FB5" w:rsidRPr="009E2EC4" w:rsidRDefault="002C3FB5" w:rsidP="002C3FB5">
      <w:pPr>
        <w:jc w:val="both"/>
        <w:rPr>
          <w:rFonts w:ascii="Calibri" w:eastAsia="Times New Roman" w:hAnsi="Calibri" w:cs="Calibri"/>
        </w:rPr>
      </w:pPr>
      <w:r w:rsidRPr="009E2EC4">
        <w:rPr>
          <w:rFonts w:ascii="Calibri" w:eastAsia="Times New Roman" w:hAnsi="Calibri" w:cs="Calibri"/>
        </w:rPr>
        <w:t> </w:t>
      </w:r>
    </w:p>
    <w:p w14:paraId="4872F970" w14:textId="77777777" w:rsidR="002C3FB5" w:rsidRPr="009E2EC4" w:rsidRDefault="002C3FB5" w:rsidP="002C3FB5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9E2EC4">
        <w:rPr>
          <w:rFonts w:ascii="Calibri" w:eastAsia="Times New Roman" w:hAnsi="Calibri" w:cs="Calibri"/>
          <w:b/>
          <w:bCs/>
        </w:rPr>
        <w:t>Les économies d’intrants</w:t>
      </w:r>
    </w:p>
    <w:p w14:paraId="7DD80BAF" w14:textId="77777777" w:rsidR="002C3FB5" w:rsidRPr="009E2EC4" w:rsidRDefault="002C3FB5" w:rsidP="002C3FB5">
      <w:pPr>
        <w:jc w:val="both"/>
        <w:rPr>
          <w:rFonts w:ascii="Calibri" w:eastAsia="Times New Roman" w:hAnsi="Calibri" w:cs="Calibri"/>
        </w:rPr>
      </w:pPr>
    </w:p>
    <w:p w14:paraId="5F5F6C06" w14:textId="0B7B8B34" w:rsidR="002C3FB5" w:rsidRPr="009E2EC4" w:rsidRDefault="00716C68" w:rsidP="002C3FB5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La</w:t>
      </w:r>
      <w:r w:rsidR="00533A7D">
        <w:rPr>
          <w:rFonts w:ascii="Calibri" w:eastAsia="Times New Roman" w:hAnsi="Calibri" w:cs="Calibri"/>
        </w:rPr>
        <w:t xml:space="preserve"> première </w:t>
      </w:r>
      <w:r w:rsidR="00D63F8E">
        <w:rPr>
          <w:rFonts w:ascii="Calibri" w:eastAsia="Times New Roman" w:hAnsi="Calibri" w:cs="Calibri"/>
        </w:rPr>
        <w:t xml:space="preserve">façon de décarboner </w:t>
      </w:r>
      <w:r>
        <w:rPr>
          <w:rFonts w:ascii="Calibri" w:eastAsia="Times New Roman" w:hAnsi="Calibri" w:cs="Calibri"/>
        </w:rPr>
        <w:t xml:space="preserve">d’une organisation est de </w:t>
      </w:r>
      <w:r w:rsidR="00D63F8E">
        <w:rPr>
          <w:rFonts w:ascii="Calibri" w:eastAsia="Times New Roman" w:hAnsi="Calibri" w:cs="Calibri"/>
        </w:rPr>
        <w:t>rédui</w:t>
      </w:r>
      <w:r>
        <w:rPr>
          <w:rFonts w:ascii="Calibri" w:eastAsia="Times New Roman" w:hAnsi="Calibri" w:cs="Calibri"/>
        </w:rPr>
        <w:t>re</w:t>
      </w:r>
      <w:r w:rsidR="00D63F8E">
        <w:rPr>
          <w:rFonts w:ascii="Calibri" w:eastAsia="Times New Roman" w:hAnsi="Calibri" w:cs="Calibri"/>
        </w:rPr>
        <w:t xml:space="preserve"> le</w:t>
      </w:r>
      <w:r w:rsidR="00D1204D">
        <w:rPr>
          <w:rFonts w:ascii="Calibri" w:eastAsia="Times New Roman" w:hAnsi="Calibri" w:cs="Calibri"/>
        </w:rPr>
        <w:t xml:space="preserve"> FE</w:t>
      </w:r>
      <w:r w:rsidR="00E70007">
        <w:rPr>
          <w:rFonts w:ascii="Calibri" w:eastAsia="Times New Roman" w:hAnsi="Calibri" w:cs="Calibri"/>
        </w:rPr>
        <w:t xml:space="preserve"> </w:t>
      </w:r>
      <w:r w:rsidR="002C3FB5" w:rsidRPr="009E2EC4">
        <w:rPr>
          <w:rFonts w:ascii="Calibri" w:eastAsia="Times New Roman" w:hAnsi="Calibri" w:cs="Calibri"/>
        </w:rPr>
        <w:t>de ce qu</w:t>
      </w:r>
      <w:r w:rsidR="00D63F8E">
        <w:rPr>
          <w:rFonts w:ascii="Calibri" w:eastAsia="Times New Roman" w:hAnsi="Calibri" w:cs="Calibri"/>
        </w:rPr>
        <w:t xml:space="preserve">’elle </w:t>
      </w:r>
      <w:r w:rsidR="002C3FB5" w:rsidRPr="009E2EC4">
        <w:rPr>
          <w:rFonts w:ascii="Calibri" w:eastAsia="Times New Roman" w:hAnsi="Calibri" w:cs="Calibri"/>
        </w:rPr>
        <w:t>vend ou diffuse</w:t>
      </w:r>
      <w:r>
        <w:rPr>
          <w:rFonts w:ascii="Calibri" w:eastAsia="Times New Roman" w:hAnsi="Calibri" w:cs="Calibri"/>
        </w:rPr>
        <w:t xml:space="preserve">, </w:t>
      </w:r>
      <w:r w:rsidR="00295850">
        <w:rPr>
          <w:rFonts w:ascii="Calibri" w:eastAsia="Times New Roman" w:hAnsi="Calibri" w:cs="Calibri"/>
        </w:rPr>
        <w:t>à activité constante</w:t>
      </w:r>
      <w:r w:rsidR="002C3FB5" w:rsidRPr="009E2EC4">
        <w:rPr>
          <w:rFonts w:ascii="Calibri" w:eastAsia="Times New Roman" w:hAnsi="Calibri" w:cs="Calibri"/>
        </w:rPr>
        <w:t>.</w:t>
      </w:r>
      <w:r w:rsidR="00533A7D">
        <w:rPr>
          <w:rFonts w:ascii="Calibri" w:eastAsia="Times New Roman" w:hAnsi="Calibri" w:cs="Calibri"/>
        </w:rPr>
        <w:t xml:space="preserve"> </w:t>
      </w:r>
      <w:r w:rsidR="005A2F2D">
        <w:rPr>
          <w:rFonts w:ascii="Calibri" w:eastAsia="Times New Roman" w:hAnsi="Calibri" w:cs="Calibri"/>
        </w:rPr>
        <w:t>Le FE obtenu en I est monétaire</w:t>
      </w:r>
      <w:r w:rsidR="009E7DDF">
        <w:rPr>
          <w:rFonts w:ascii="Calibri" w:eastAsia="Times New Roman" w:hAnsi="Calibri" w:cs="Calibri"/>
        </w:rPr>
        <w:t xml:space="preserve"> : pour le </w:t>
      </w:r>
      <w:r w:rsidR="000E72EE">
        <w:rPr>
          <w:rFonts w:ascii="Calibri" w:eastAsia="Times New Roman" w:hAnsi="Calibri" w:cs="Calibri"/>
        </w:rPr>
        <w:t xml:space="preserve">comparer </w:t>
      </w:r>
      <w:r w:rsidR="009E7DDF">
        <w:rPr>
          <w:rFonts w:ascii="Calibri" w:eastAsia="Times New Roman" w:hAnsi="Calibri" w:cs="Calibri"/>
        </w:rPr>
        <w:t xml:space="preserve">sur deux années </w:t>
      </w:r>
      <w:r w:rsidR="000E72EE">
        <w:rPr>
          <w:rFonts w:ascii="Calibri" w:eastAsia="Times New Roman" w:hAnsi="Calibri" w:cs="Calibri"/>
        </w:rPr>
        <w:t xml:space="preserve">il faut </w:t>
      </w:r>
      <w:r w:rsidR="00AB6A74">
        <w:rPr>
          <w:rFonts w:ascii="Calibri" w:eastAsia="Times New Roman" w:hAnsi="Calibri" w:cs="Calibri"/>
        </w:rPr>
        <w:t xml:space="preserve">le corriger de </w:t>
      </w:r>
      <w:r w:rsidR="00EF07B2">
        <w:rPr>
          <w:rFonts w:ascii="Calibri" w:eastAsia="Times New Roman" w:hAnsi="Calibri" w:cs="Calibri"/>
        </w:rPr>
        <w:t>l’</w:t>
      </w:r>
      <w:r w:rsidR="00526EA8">
        <w:rPr>
          <w:rFonts w:ascii="Calibri" w:eastAsia="Times New Roman" w:hAnsi="Calibri" w:cs="Calibri"/>
        </w:rPr>
        <w:t>inflation</w:t>
      </w:r>
      <w:r w:rsidR="00AB6A74">
        <w:rPr>
          <w:rFonts w:ascii="Calibri" w:eastAsia="Times New Roman" w:hAnsi="Calibri" w:cs="Calibri"/>
        </w:rPr>
        <w:t xml:space="preserve"> (</w:t>
      </w:r>
      <w:r w:rsidR="009E7DDF">
        <w:rPr>
          <w:rFonts w:ascii="Calibri" w:eastAsia="Times New Roman" w:hAnsi="Calibri" w:cs="Calibri"/>
        </w:rPr>
        <w:t xml:space="preserve">par un </w:t>
      </w:r>
      <w:r w:rsidR="00AB6A74">
        <w:rPr>
          <w:rFonts w:ascii="Calibri" w:eastAsia="Times New Roman" w:hAnsi="Calibri" w:cs="Calibri"/>
        </w:rPr>
        <w:t xml:space="preserve">déflateur de </w:t>
      </w:r>
      <w:r w:rsidR="009E7DDF">
        <w:rPr>
          <w:rFonts w:ascii="Calibri" w:eastAsia="Times New Roman" w:hAnsi="Calibri" w:cs="Calibri"/>
        </w:rPr>
        <w:t>l’</w:t>
      </w:r>
      <w:r w:rsidR="00AB6A74">
        <w:rPr>
          <w:rFonts w:ascii="Calibri" w:eastAsia="Times New Roman" w:hAnsi="Calibri" w:cs="Calibri"/>
        </w:rPr>
        <w:t>activité)</w:t>
      </w:r>
      <w:r w:rsidR="007F5290">
        <w:rPr>
          <w:rFonts w:ascii="Calibri" w:eastAsia="Times New Roman" w:hAnsi="Calibri" w:cs="Calibri"/>
        </w:rPr>
        <w:t xml:space="preserve"> ou </w:t>
      </w:r>
      <w:r w:rsidR="009E7DDF">
        <w:rPr>
          <w:rFonts w:ascii="Calibri" w:eastAsia="Times New Roman" w:hAnsi="Calibri" w:cs="Calibri"/>
        </w:rPr>
        <w:t xml:space="preserve">passer à </w:t>
      </w:r>
      <w:r w:rsidR="00526EA8" w:rsidRPr="007F5290">
        <w:rPr>
          <w:rFonts w:ascii="Calibri" w:eastAsia="Times New Roman" w:hAnsi="Calibri" w:cs="Calibri"/>
        </w:rPr>
        <w:t xml:space="preserve">un FE physique </w:t>
      </w:r>
      <w:r w:rsidR="002C52DF" w:rsidRPr="007F5290">
        <w:rPr>
          <w:rFonts w:ascii="Calibri" w:eastAsia="Times New Roman" w:hAnsi="Calibri" w:cs="Calibri"/>
        </w:rPr>
        <w:t xml:space="preserve">en ramenant les carbones nécessaires </w:t>
      </w:r>
      <w:r w:rsidR="004D5661" w:rsidRPr="007F5290">
        <w:rPr>
          <w:rFonts w:ascii="Calibri" w:eastAsia="Times New Roman" w:hAnsi="Calibri" w:cs="Calibri"/>
        </w:rPr>
        <w:t xml:space="preserve">à l’activité </w:t>
      </w:r>
      <w:r w:rsidR="002C52DF" w:rsidRPr="007F5290">
        <w:rPr>
          <w:rFonts w:ascii="Calibri" w:eastAsia="Times New Roman" w:hAnsi="Calibri" w:cs="Calibri"/>
        </w:rPr>
        <w:t xml:space="preserve">au </w:t>
      </w:r>
      <w:r w:rsidR="002C3FB5" w:rsidRPr="007F5290">
        <w:rPr>
          <w:rFonts w:ascii="Calibri" w:eastAsia="Times New Roman" w:hAnsi="Calibri" w:cs="Calibri"/>
        </w:rPr>
        <w:t>nombre de voitures vendue</w:t>
      </w:r>
      <w:r w:rsidR="002C52DF" w:rsidRPr="007F5290">
        <w:rPr>
          <w:rFonts w:ascii="Calibri" w:eastAsia="Times New Roman" w:hAnsi="Calibri" w:cs="Calibri"/>
        </w:rPr>
        <w:t>s</w:t>
      </w:r>
      <w:r w:rsidR="002C3FB5" w:rsidRPr="007F5290">
        <w:rPr>
          <w:rFonts w:ascii="Calibri" w:eastAsia="Times New Roman" w:hAnsi="Calibri" w:cs="Calibri"/>
        </w:rPr>
        <w:t>,</w:t>
      </w:r>
      <w:r w:rsidR="00604369" w:rsidRPr="007F5290">
        <w:rPr>
          <w:rFonts w:ascii="Calibri" w:eastAsia="Times New Roman" w:hAnsi="Calibri" w:cs="Calibri"/>
        </w:rPr>
        <w:t xml:space="preserve"> </w:t>
      </w:r>
      <w:r w:rsidR="002C3FB5" w:rsidRPr="007F5290">
        <w:rPr>
          <w:rFonts w:ascii="Calibri" w:eastAsia="Times New Roman" w:hAnsi="Calibri" w:cs="Calibri"/>
        </w:rPr>
        <w:t xml:space="preserve">de tonnes de ciment, de nuitées, de couverts... </w:t>
      </w:r>
    </w:p>
    <w:p w14:paraId="6AC00AA1" w14:textId="531C67E5" w:rsidR="002C3FB5" w:rsidRDefault="002C3FB5" w:rsidP="002C3FB5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 xml:space="preserve">En multipliant la quantité vendue </w:t>
      </w:r>
      <w:r w:rsidR="00C47C69">
        <w:rPr>
          <w:rFonts w:ascii="Calibri" w:eastAsia="Times New Roman" w:hAnsi="Calibri" w:cs="Calibri"/>
        </w:rPr>
        <w:t xml:space="preserve">ou diffusée </w:t>
      </w:r>
      <w:r>
        <w:rPr>
          <w:rFonts w:ascii="Calibri" w:eastAsia="Times New Roman" w:hAnsi="Calibri" w:cs="Calibri"/>
        </w:rPr>
        <w:t xml:space="preserve">la première année </w:t>
      </w:r>
      <w:r w:rsidR="00176364">
        <w:rPr>
          <w:rFonts w:ascii="Calibri" w:eastAsia="Times New Roman" w:hAnsi="Calibri" w:cs="Calibri"/>
        </w:rPr>
        <w:t xml:space="preserve">(monétaire ou physiques selon le choix précédent) </w:t>
      </w:r>
      <w:r>
        <w:rPr>
          <w:rFonts w:ascii="Calibri" w:eastAsia="Times New Roman" w:hAnsi="Calibri" w:cs="Calibri"/>
        </w:rPr>
        <w:t xml:space="preserve">par la variation du </w:t>
      </w:r>
      <w:r w:rsidR="00D1204D">
        <w:rPr>
          <w:rFonts w:ascii="Calibri" w:eastAsia="Times New Roman" w:hAnsi="Calibri" w:cs="Calibri"/>
        </w:rPr>
        <w:t>FE</w:t>
      </w:r>
      <w:r w:rsidR="00E70007">
        <w:rPr>
          <w:rFonts w:ascii="Calibri" w:eastAsia="Times New Roman" w:hAnsi="Calibri" w:cs="Calibri"/>
        </w:rPr>
        <w:t xml:space="preserve"> </w:t>
      </w:r>
      <w:r w:rsidR="00F72D00">
        <w:rPr>
          <w:rFonts w:ascii="Calibri" w:eastAsia="Times New Roman" w:hAnsi="Calibri" w:cs="Calibri"/>
        </w:rPr>
        <w:t xml:space="preserve">de </w:t>
      </w:r>
      <w:r w:rsidR="008641BB">
        <w:rPr>
          <w:rFonts w:ascii="Calibri" w:eastAsia="Times New Roman" w:hAnsi="Calibri" w:cs="Calibri"/>
        </w:rPr>
        <w:t>l’</w:t>
      </w:r>
      <w:r w:rsidR="00F72D00">
        <w:rPr>
          <w:rFonts w:ascii="Calibri" w:eastAsia="Times New Roman" w:hAnsi="Calibri" w:cs="Calibri"/>
        </w:rPr>
        <w:t xml:space="preserve">activité </w:t>
      </w:r>
      <w:r>
        <w:rPr>
          <w:rFonts w:ascii="Calibri" w:eastAsia="Times New Roman" w:hAnsi="Calibri" w:cs="Calibri"/>
        </w:rPr>
        <w:t xml:space="preserve">d’une année à l’autre, le comptable obtient une </w:t>
      </w:r>
      <w:r w:rsidR="00176364">
        <w:rPr>
          <w:rFonts w:ascii="Calibri" w:eastAsia="Times New Roman" w:hAnsi="Calibri" w:cs="Calibri"/>
        </w:rPr>
        <w:t xml:space="preserve">CDD brute </w:t>
      </w:r>
      <w:r w:rsidR="008641BB">
        <w:rPr>
          <w:rFonts w:ascii="Calibri" w:eastAsia="Times New Roman" w:hAnsi="Calibri" w:cs="Calibri"/>
        </w:rPr>
        <w:t xml:space="preserve">mélangeant </w:t>
      </w:r>
      <w:r w:rsidRPr="009E2EC4">
        <w:rPr>
          <w:rFonts w:ascii="Calibri" w:eastAsia="Times New Roman" w:hAnsi="Calibri" w:cs="Calibri"/>
        </w:rPr>
        <w:t>:</w:t>
      </w:r>
    </w:p>
    <w:p w14:paraId="6464A445" w14:textId="5583BC6A" w:rsidR="002C3FB5" w:rsidRPr="008C3C99" w:rsidRDefault="002C3FB5" w:rsidP="002C3FB5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8C3C99">
        <w:rPr>
          <w:rFonts w:ascii="Calibri" w:eastAsia="Times New Roman" w:hAnsi="Calibri" w:cs="Calibri"/>
        </w:rPr>
        <w:t xml:space="preserve">L’impact de la variation des </w:t>
      </w:r>
      <w:r w:rsidR="00D1204D">
        <w:rPr>
          <w:rFonts w:ascii="Calibri" w:eastAsia="Times New Roman" w:hAnsi="Calibri" w:cs="Calibri"/>
        </w:rPr>
        <w:t>FE</w:t>
      </w:r>
      <w:r w:rsidR="000452FD">
        <w:rPr>
          <w:rFonts w:ascii="Calibri" w:eastAsia="Times New Roman" w:hAnsi="Calibri" w:cs="Calibri"/>
        </w:rPr>
        <w:t xml:space="preserve"> </w:t>
      </w:r>
      <w:r w:rsidRPr="008C3C99">
        <w:rPr>
          <w:rFonts w:ascii="Calibri" w:eastAsia="Times New Roman" w:hAnsi="Calibri" w:cs="Calibri"/>
        </w:rPr>
        <w:t>des achats</w:t>
      </w:r>
      <w:r>
        <w:rPr>
          <w:rFonts w:ascii="Calibri" w:eastAsia="Times New Roman" w:hAnsi="Calibri" w:cs="Calibri"/>
        </w:rPr>
        <w:t xml:space="preserve"> : </w:t>
      </w:r>
      <w:r w:rsidR="00417E8A">
        <w:rPr>
          <w:rFonts w:ascii="Calibri" w:eastAsia="Times New Roman" w:hAnsi="Calibri" w:cs="Calibri"/>
        </w:rPr>
        <w:t>d</w:t>
      </w:r>
      <w:r w:rsidR="00697E85">
        <w:rPr>
          <w:rFonts w:ascii="Calibri" w:eastAsia="Times New Roman" w:hAnsi="Calibri" w:cs="Calibri"/>
        </w:rPr>
        <w:t>es</w:t>
      </w:r>
      <w:r>
        <w:rPr>
          <w:rFonts w:ascii="Calibri" w:eastAsia="Times New Roman" w:hAnsi="Calibri" w:cs="Calibri"/>
        </w:rPr>
        <w:t xml:space="preserve"> </w:t>
      </w:r>
      <w:r w:rsidRPr="008C3C99">
        <w:rPr>
          <w:rFonts w:ascii="Calibri" w:eastAsia="Times New Roman" w:hAnsi="Calibri" w:cs="Calibri"/>
        </w:rPr>
        <w:t>performances amont</w:t>
      </w:r>
      <w:r>
        <w:rPr>
          <w:rFonts w:ascii="Calibri" w:eastAsia="Times New Roman" w:hAnsi="Calibri" w:cs="Calibri"/>
        </w:rPr>
        <w:t xml:space="preserve"> </w:t>
      </w:r>
      <w:r w:rsidR="00697E85">
        <w:rPr>
          <w:rFonts w:ascii="Calibri" w:eastAsia="Times New Roman" w:hAnsi="Calibri" w:cs="Calibri"/>
        </w:rPr>
        <w:t xml:space="preserve">déjà mesurées </w:t>
      </w:r>
      <w:r>
        <w:rPr>
          <w:rFonts w:ascii="Calibri" w:eastAsia="Times New Roman" w:hAnsi="Calibri" w:cs="Calibri"/>
        </w:rPr>
        <w:t xml:space="preserve">dans les </w:t>
      </w:r>
      <w:r w:rsidR="00ED568F">
        <w:rPr>
          <w:rFonts w:ascii="Calibri" w:eastAsia="Times New Roman" w:hAnsi="Calibri" w:cs="Calibri"/>
        </w:rPr>
        <w:t>CCD</w:t>
      </w:r>
      <w:r>
        <w:rPr>
          <w:rFonts w:ascii="Calibri" w:eastAsia="Times New Roman" w:hAnsi="Calibri" w:cs="Calibri"/>
        </w:rPr>
        <w:t xml:space="preserve"> des organisations concernées et </w:t>
      </w:r>
      <w:r w:rsidR="005768B3">
        <w:rPr>
          <w:rFonts w:ascii="Calibri" w:eastAsia="Times New Roman" w:hAnsi="Calibri" w:cs="Calibri"/>
        </w:rPr>
        <w:t xml:space="preserve">à </w:t>
      </w:r>
      <w:r w:rsidR="00642098">
        <w:rPr>
          <w:rFonts w:ascii="Calibri" w:eastAsia="Times New Roman" w:hAnsi="Calibri" w:cs="Calibri"/>
        </w:rPr>
        <w:t>ne pas prendre en compte</w:t>
      </w:r>
      <w:r>
        <w:rPr>
          <w:rFonts w:ascii="Calibri" w:eastAsia="Times New Roman" w:hAnsi="Calibri" w:cs="Calibri"/>
        </w:rPr>
        <w:t>.</w:t>
      </w:r>
    </w:p>
    <w:p w14:paraId="03FEC67C" w14:textId="3003DC42" w:rsidR="002C3FB5" w:rsidRDefault="002C3FB5" w:rsidP="002C3FB5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8C3C99">
        <w:rPr>
          <w:rFonts w:ascii="Calibri" w:eastAsia="Times New Roman" w:hAnsi="Calibri" w:cs="Calibri"/>
        </w:rPr>
        <w:t xml:space="preserve">L’impact de la </w:t>
      </w:r>
      <w:r>
        <w:rPr>
          <w:rFonts w:ascii="Calibri" w:eastAsia="Times New Roman" w:hAnsi="Calibri" w:cs="Calibri"/>
        </w:rPr>
        <w:t xml:space="preserve">variation </w:t>
      </w:r>
      <w:r w:rsidRPr="008C3C99">
        <w:rPr>
          <w:rFonts w:ascii="Calibri" w:eastAsia="Times New Roman" w:hAnsi="Calibri" w:cs="Calibri"/>
        </w:rPr>
        <w:t>des quantités d’intrants utilisé</w:t>
      </w:r>
      <w:r w:rsidR="00625410">
        <w:rPr>
          <w:rFonts w:ascii="Calibri" w:eastAsia="Times New Roman" w:hAnsi="Calibri" w:cs="Calibri"/>
        </w:rPr>
        <w:t>e</w:t>
      </w:r>
      <w:r w:rsidRPr="008C3C99">
        <w:rPr>
          <w:rFonts w:ascii="Calibri" w:eastAsia="Times New Roman" w:hAnsi="Calibri" w:cs="Calibri"/>
        </w:rPr>
        <w:t>s p</w:t>
      </w:r>
      <w:r w:rsidR="00580A66">
        <w:rPr>
          <w:rFonts w:ascii="Calibri" w:eastAsia="Times New Roman" w:hAnsi="Calibri" w:cs="Calibri"/>
        </w:rPr>
        <w:t>ar unité</w:t>
      </w:r>
      <w:r w:rsidRPr="008C3C99">
        <w:rPr>
          <w:rFonts w:ascii="Calibri" w:eastAsia="Times New Roman" w:hAnsi="Calibri" w:cs="Calibri"/>
        </w:rPr>
        <w:t xml:space="preserve"> produite</w:t>
      </w:r>
      <w:r>
        <w:rPr>
          <w:rFonts w:ascii="Calibri" w:eastAsia="Times New Roman" w:hAnsi="Calibri" w:cs="Calibri"/>
        </w:rPr>
        <w:t> </w:t>
      </w:r>
      <w:r w:rsidR="00311283">
        <w:rPr>
          <w:rFonts w:ascii="Calibri" w:eastAsia="Times New Roman" w:hAnsi="Calibri" w:cs="Calibri"/>
        </w:rPr>
        <w:t xml:space="preserve">qui est </w:t>
      </w:r>
      <w:r w:rsidR="00D51BA1">
        <w:rPr>
          <w:rFonts w:ascii="Calibri" w:eastAsia="Times New Roman" w:hAnsi="Calibri" w:cs="Calibri"/>
        </w:rPr>
        <w:t>l</w:t>
      </w:r>
      <w:r w:rsidRPr="008C3C99">
        <w:rPr>
          <w:rFonts w:ascii="Calibri" w:eastAsia="Times New Roman" w:hAnsi="Calibri" w:cs="Calibri"/>
        </w:rPr>
        <w:t xml:space="preserve">a </w:t>
      </w:r>
      <w:r w:rsidR="00ED568F">
        <w:rPr>
          <w:rFonts w:ascii="Calibri" w:eastAsia="Times New Roman" w:hAnsi="Calibri" w:cs="Calibri"/>
        </w:rPr>
        <w:t>CCD</w:t>
      </w:r>
      <w:r w:rsidR="00D51BA1">
        <w:rPr>
          <w:rFonts w:ascii="Calibri" w:eastAsia="Times New Roman" w:hAnsi="Calibri" w:cs="Calibri"/>
        </w:rPr>
        <w:t xml:space="preserve"> </w:t>
      </w:r>
      <w:r w:rsidR="00625410">
        <w:rPr>
          <w:rFonts w:ascii="Calibri" w:eastAsia="Times New Roman" w:hAnsi="Calibri" w:cs="Calibri"/>
        </w:rPr>
        <w:t>nette de l’activité</w:t>
      </w:r>
      <w:r w:rsidRPr="008C3C99">
        <w:rPr>
          <w:rFonts w:ascii="Calibri" w:eastAsia="Times New Roman" w:hAnsi="Calibri" w:cs="Calibri"/>
        </w:rPr>
        <w:t xml:space="preserve">. </w:t>
      </w:r>
      <w:r w:rsidR="00642098">
        <w:rPr>
          <w:rFonts w:ascii="Calibri" w:eastAsia="Times New Roman" w:hAnsi="Calibri" w:cs="Calibri"/>
        </w:rPr>
        <w:t xml:space="preserve">Son </w:t>
      </w:r>
      <w:r w:rsidR="00927586">
        <w:rPr>
          <w:rFonts w:ascii="Calibri" w:eastAsia="Times New Roman" w:hAnsi="Calibri" w:cs="Calibri"/>
        </w:rPr>
        <w:t xml:space="preserve">calcul </w:t>
      </w:r>
      <w:r w:rsidR="00C21817">
        <w:rPr>
          <w:rFonts w:ascii="Calibri" w:eastAsia="Times New Roman" w:hAnsi="Calibri" w:cs="Calibri"/>
        </w:rPr>
        <w:t xml:space="preserve">est automatique à </w:t>
      </w:r>
      <w:r w:rsidR="00642098">
        <w:rPr>
          <w:rFonts w:ascii="Calibri" w:eastAsia="Times New Roman" w:hAnsi="Calibri" w:cs="Calibri"/>
        </w:rPr>
        <w:t xml:space="preserve">condition de </w:t>
      </w:r>
      <w:r w:rsidR="008731CE">
        <w:rPr>
          <w:rFonts w:ascii="Calibri" w:eastAsia="Times New Roman" w:hAnsi="Calibri" w:cs="Calibri"/>
        </w:rPr>
        <w:t xml:space="preserve">disposer d’une mesure de la variation de quantité de l’intrant, soit à partir </w:t>
      </w:r>
      <w:r w:rsidR="00C21817">
        <w:rPr>
          <w:rFonts w:ascii="Calibri" w:eastAsia="Times New Roman" w:hAnsi="Calibri" w:cs="Calibri"/>
        </w:rPr>
        <w:t>d</w:t>
      </w:r>
      <w:r w:rsidR="00D2567F">
        <w:rPr>
          <w:rFonts w:ascii="Calibri" w:eastAsia="Times New Roman" w:hAnsi="Calibri" w:cs="Calibri"/>
        </w:rPr>
        <w:t>es quantités recueillies en I</w:t>
      </w:r>
      <w:r w:rsidR="002D0D10">
        <w:rPr>
          <w:rFonts w:ascii="Calibri" w:eastAsia="Times New Roman" w:hAnsi="Calibri" w:cs="Calibri"/>
        </w:rPr>
        <w:t xml:space="preserve">, </w:t>
      </w:r>
      <w:r w:rsidR="00BF39B0">
        <w:rPr>
          <w:rFonts w:ascii="Calibri" w:eastAsia="Times New Roman" w:hAnsi="Calibri" w:cs="Calibri"/>
        </w:rPr>
        <w:t xml:space="preserve">soit à partir </w:t>
      </w:r>
      <w:r w:rsidR="00C21817">
        <w:rPr>
          <w:rFonts w:ascii="Calibri" w:eastAsia="Times New Roman" w:hAnsi="Calibri" w:cs="Calibri"/>
        </w:rPr>
        <w:t>d’</w:t>
      </w:r>
      <w:r w:rsidR="002D0D10">
        <w:rPr>
          <w:rFonts w:ascii="Calibri" w:eastAsia="Times New Roman" w:hAnsi="Calibri" w:cs="Calibri"/>
        </w:rPr>
        <w:t xml:space="preserve">un déflateur </w:t>
      </w:r>
      <w:proofErr w:type="spellStart"/>
      <w:r w:rsidR="00BF39B0">
        <w:rPr>
          <w:rFonts w:ascii="Calibri" w:eastAsia="Times New Roman" w:hAnsi="Calibri" w:cs="Calibri"/>
        </w:rPr>
        <w:t>de</w:t>
      </w:r>
      <w:r w:rsidR="00D14847">
        <w:rPr>
          <w:rFonts w:ascii="Calibri" w:eastAsia="Times New Roman" w:hAnsi="Calibri" w:cs="Calibri"/>
        </w:rPr>
        <w:t>s</w:t>
      </w:r>
      <w:proofErr w:type="spellEnd"/>
      <w:r w:rsidR="00D14847">
        <w:rPr>
          <w:rFonts w:ascii="Calibri" w:eastAsia="Times New Roman" w:hAnsi="Calibri" w:cs="Calibri"/>
        </w:rPr>
        <w:t xml:space="preserve"> achats </w:t>
      </w:r>
      <w:r w:rsidR="00BF39B0">
        <w:rPr>
          <w:rFonts w:ascii="Calibri" w:eastAsia="Times New Roman" w:hAnsi="Calibri" w:cs="Calibri"/>
        </w:rPr>
        <w:t>« hors énergie »</w:t>
      </w:r>
      <w:r w:rsidR="00D14847">
        <w:rPr>
          <w:rFonts w:ascii="Calibri" w:eastAsia="Times New Roman" w:hAnsi="Calibri" w:cs="Calibri"/>
        </w:rPr>
        <w:t xml:space="preserve"> de l’activité</w:t>
      </w:r>
      <w:r w:rsidR="00090CEA">
        <w:rPr>
          <w:rFonts w:ascii="Calibri" w:eastAsia="Times New Roman" w:hAnsi="Calibri" w:cs="Calibri"/>
        </w:rPr>
        <w:t xml:space="preserve">. </w:t>
      </w:r>
    </w:p>
    <w:p w14:paraId="47BD8474" w14:textId="73400468" w:rsidR="007A5EE0" w:rsidRDefault="007A5EE0" w:rsidP="002C3FB5">
      <w:pPr>
        <w:jc w:val="both"/>
        <w:rPr>
          <w:rFonts w:ascii="Calibri" w:eastAsia="Times New Roman" w:hAnsi="Calibri" w:cs="Calibri"/>
        </w:rPr>
      </w:pPr>
    </w:p>
    <w:p w14:paraId="56E61CD2" w14:textId="6CDA1134" w:rsidR="002C3FB5" w:rsidRPr="009E2EC4" w:rsidRDefault="002C3FB5" w:rsidP="002C3FB5">
      <w:pPr>
        <w:jc w:val="both"/>
        <w:rPr>
          <w:rFonts w:ascii="Calibri" w:eastAsia="Times New Roman" w:hAnsi="Calibri" w:cs="Calibri"/>
        </w:rPr>
      </w:pPr>
      <w:r w:rsidRPr="009E2EC4">
        <w:rPr>
          <w:rFonts w:ascii="Calibri" w:eastAsia="Times New Roman" w:hAnsi="Calibri" w:cs="Calibri"/>
        </w:rPr>
        <w:t>(NB : L</w:t>
      </w:r>
      <w:r>
        <w:rPr>
          <w:rFonts w:ascii="Calibri" w:eastAsia="Times New Roman" w:hAnsi="Calibri" w:cs="Calibri"/>
        </w:rPr>
        <w:t>a</w:t>
      </w:r>
      <w:r w:rsidRPr="009E2EC4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baisse du </w:t>
      </w:r>
      <w:r w:rsidR="0032391A">
        <w:rPr>
          <w:rFonts w:ascii="Calibri" w:eastAsia="Times New Roman" w:hAnsi="Calibri" w:cs="Calibri"/>
        </w:rPr>
        <w:t>FE</w:t>
      </w:r>
      <w:r w:rsidR="00E70007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d’un fournisseur </w:t>
      </w:r>
      <w:r w:rsidRPr="009E2EC4">
        <w:rPr>
          <w:rFonts w:ascii="Calibri" w:eastAsia="Times New Roman" w:hAnsi="Calibri" w:cs="Calibri"/>
        </w:rPr>
        <w:t xml:space="preserve">impacte </w:t>
      </w:r>
      <w:r w:rsidR="00BA7FE8">
        <w:rPr>
          <w:rFonts w:ascii="Calibri" w:eastAsia="Times New Roman" w:hAnsi="Calibri" w:cs="Calibri"/>
        </w:rPr>
        <w:t xml:space="preserve">ses PCC, </w:t>
      </w:r>
      <w:r w:rsidRPr="009E2EC4">
        <w:rPr>
          <w:rFonts w:ascii="Calibri" w:eastAsia="Times New Roman" w:hAnsi="Calibri" w:cs="Calibri"/>
        </w:rPr>
        <w:t>première performance de l’organisation</w:t>
      </w:r>
      <w:r w:rsidR="00F842E3">
        <w:rPr>
          <w:rFonts w:ascii="Calibri" w:eastAsia="Times New Roman" w:hAnsi="Calibri" w:cs="Calibri"/>
        </w:rPr>
        <w:t xml:space="preserve"> </w:t>
      </w:r>
      <w:r w:rsidR="00481ACC">
        <w:rPr>
          <w:rFonts w:ascii="Calibri" w:eastAsia="Times New Roman" w:hAnsi="Calibri" w:cs="Calibri"/>
        </w:rPr>
        <w:t>inclu</w:t>
      </w:r>
      <w:r w:rsidR="00C851BD">
        <w:rPr>
          <w:rFonts w:ascii="Calibri" w:eastAsia="Times New Roman" w:hAnsi="Calibri" w:cs="Calibri"/>
        </w:rPr>
        <w:t>a</w:t>
      </w:r>
      <w:r w:rsidR="00481ACC">
        <w:rPr>
          <w:rFonts w:ascii="Calibri" w:eastAsia="Times New Roman" w:hAnsi="Calibri" w:cs="Calibri"/>
        </w:rPr>
        <w:t xml:space="preserve">nt </w:t>
      </w:r>
      <w:r w:rsidR="00F842E3">
        <w:rPr>
          <w:rFonts w:ascii="Calibri" w:eastAsia="Times New Roman" w:hAnsi="Calibri" w:cs="Calibri"/>
        </w:rPr>
        <w:t xml:space="preserve">volontairement </w:t>
      </w:r>
      <w:r w:rsidR="00481ACC">
        <w:rPr>
          <w:rFonts w:ascii="Calibri" w:eastAsia="Times New Roman" w:hAnsi="Calibri" w:cs="Calibri"/>
        </w:rPr>
        <w:t>l’amont</w:t>
      </w:r>
      <w:r w:rsidR="00C851BD">
        <w:rPr>
          <w:rFonts w:ascii="Calibri" w:eastAsia="Times New Roman" w:hAnsi="Calibri" w:cs="Calibri"/>
        </w:rPr>
        <w:t>. Elle n’impacte pas s</w:t>
      </w:r>
      <w:r w:rsidRPr="009E2EC4">
        <w:rPr>
          <w:rFonts w:ascii="Calibri" w:eastAsia="Times New Roman" w:hAnsi="Calibri" w:cs="Calibri"/>
        </w:rPr>
        <w:t>a seconde</w:t>
      </w:r>
      <w:r w:rsidR="00F842E3">
        <w:rPr>
          <w:rFonts w:ascii="Calibri" w:eastAsia="Times New Roman" w:hAnsi="Calibri" w:cs="Calibri"/>
        </w:rPr>
        <w:t xml:space="preserve"> </w:t>
      </w:r>
      <w:r w:rsidR="00C851BD">
        <w:rPr>
          <w:rFonts w:ascii="Calibri" w:eastAsia="Times New Roman" w:hAnsi="Calibri" w:cs="Calibri"/>
        </w:rPr>
        <w:t xml:space="preserve">performance </w:t>
      </w:r>
      <w:r w:rsidR="00F842E3">
        <w:rPr>
          <w:rFonts w:ascii="Calibri" w:eastAsia="Times New Roman" w:hAnsi="Calibri" w:cs="Calibri"/>
        </w:rPr>
        <w:t xml:space="preserve">qui </w:t>
      </w:r>
      <w:r w:rsidR="00C851BD">
        <w:rPr>
          <w:rFonts w:ascii="Calibri" w:eastAsia="Times New Roman" w:hAnsi="Calibri" w:cs="Calibri"/>
        </w:rPr>
        <w:t xml:space="preserve">vise à </w:t>
      </w:r>
      <w:r>
        <w:rPr>
          <w:rFonts w:ascii="Calibri" w:eastAsia="Times New Roman" w:hAnsi="Calibri" w:cs="Calibri"/>
        </w:rPr>
        <w:t>évite les doubles-comptes</w:t>
      </w:r>
      <w:r w:rsidRPr="009E2EC4">
        <w:rPr>
          <w:rFonts w:ascii="Calibri" w:eastAsia="Times New Roman" w:hAnsi="Calibri" w:cs="Calibri"/>
        </w:rPr>
        <w:t>.)</w:t>
      </w:r>
    </w:p>
    <w:p w14:paraId="54EC8625" w14:textId="77777777" w:rsidR="002C3FB5" w:rsidRPr="009E2EC4" w:rsidRDefault="002C3FB5" w:rsidP="002C3FB5">
      <w:pPr>
        <w:jc w:val="both"/>
        <w:rPr>
          <w:rFonts w:ascii="Calibri" w:eastAsia="Times New Roman" w:hAnsi="Calibri" w:cs="Calibri"/>
        </w:rPr>
      </w:pPr>
    </w:p>
    <w:p w14:paraId="10E31BD3" w14:textId="77777777" w:rsidR="002C3FB5" w:rsidRPr="009E2EC4" w:rsidRDefault="002C3FB5" w:rsidP="002C3FB5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9E2EC4">
        <w:rPr>
          <w:rFonts w:ascii="Calibri" w:eastAsia="Times New Roman" w:hAnsi="Calibri" w:cs="Calibri"/>
          <w:b/>
          <w:bCs/>
        </w:rPr>
        <w:t>Les solutions de décarbonation</w:t>
      </w:r>
    </w:p>
    <w:p w14:paraId="73AF3415" w14:textId="77777777" w:rsidR="002C3FB5" w:rsidRPr="009E2EC4" w:rsidRDefault="002C3FB5" w:rsidP="002C3FB5">
      <w:pPr>
        <w:jc w:val="both"/>
        <w:rPr>
          <w:rFonts w:ascii="Calibri" w:eastAsia="Times New Roman" w:hAnsi="Calibri" w:cs="Calibri"/>
        </w:rPr>
      </w:pPr>
    </w:p>
    <w:p w14:paraId="236DFFF1" w14:textId="4F4A33BB" w:rsidR="002C3FB5" w:rsidRPr="009E2EC4" w:rsidRDefault="002C3FB5" w:rsidP="002C3FB5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Une organisation </w:t>
      </w:r>
      <w:r w:rsidRPr="009E2EC4">
        <w:rPr>
          <w:rFonts w:ascii="Calibri" w:eastAsia="Times New Roman" w:hAnsi="Calibri" w:cs="Calibri"/>
        </w:rPr>
        <w:t xml:space="preserve">a une seconde façon de décarboner, en aidant </w:t>
      </w:r>
      <w:r w:rsidR="001E5938">
        <w:rPr>
          <w:rFonts w:ascii="Calibri" w:eastAsia="Times New Roman" w:hAnsi="Calibri" w:cs="Calibri"/>
        </w:rPr>
        <w:t xml:space="preserve">d’autres organisations </w:t>
      </w:r>
      <w:r w:rsidRPr="009E2EC4">
        <w:rPr>
          <w:rFonts w:ascii="Calibri" w:eastAsia="Times New Roman" w:hAnsi="Calibri" w:cs="Calibri"/>
        </w:rPr>
        <w:t xml:space="preserve">à économiser leurs </w:t>
      </w:r>
      <w:r>
        <w:rPr>
          <w:rFonts w:ascii="Calibri" w:eastAsia="Times New Roman" w:hAnsi="Calibri" w:cs="Calibri"/>
        </w:rPr>
        <w:t>propres intrants </w:t>
      </w:r>
      <w:r w:rsidR="001E5938" w:rsidRPr="00832027">
        <w:rPr>
          <w:rFonts w:ascii="Calibri" w:eastAsia="Times New Roman" w:hAnsi="Calibri" w:cs="Calibri"/>
          <w:i/>
          <w:iCs/>
        </w:rPr>
        <w:t>(</w:t>
      </w:r>
      <w:r w:rsidRPr="00832027">
        <w:rPr>
          <w:rFonts w:ascii="Calibri" w:eastAsia="Times New Roman" w:hAnsi="Calibri" w:cs="Calibri"/>
          <w:i/>
          <w:iCs/>
        </w:rPr>
        <w:t>par des conseils, des procédés, des machines ou des matériaux innovants… On parle de « carbones évités »</w:t>
      </w:r>
      <w:r w:rsidR="00832027" w:rsidRPr="00832027">
        <w:rPr>
          <w:rFonts w:ascii="Calibri" w:eastAsia="Times New Roman" w:hAnsi="Calibri" w:cs="Calibri"/>
          <w:i/>
          <w:iCs/>
        </w:rPr>
        <w:t>)</w:t>
      </w:r>
      <w:r w:rsidRPr="009E2EC4">
        <w:rPr>
          <w:rFonts w:ascii="Calibri" w:eastAsia="Times New Roman" w:hAnsi="Calibri" w:cs="Calibri"/>
        </w:rPr>
        <w:t xml:space="preserve">. L’encadrement comptable de la </w:t>
      </w:r>
      <w:r w:rsidR="00DF7A1E">
        <w:rPr>
          <w:rFonts w:ascii="Calibri" w:eastAsia="Times New Roman" w:hAnsi="Calibri" w:cs="Calibri"/>
        </w:rPr>
        <w:t>MCE</w:t>
      </w:r>
      <w:r w:rsidRPr="009E2EC4">
        <w:rPr>
          <w:rFonts w:ascii="Calibri" w:eastAsia="Times New Roman" w:hAnsi="Calibri" w:cs="Calibri"/>
        </w:rPr>
        <w:t xml:space="preserve"> permet des accords de partage de </w:t>
      </w:r>
      <w:r w:rsidR="00ED568F">
        <w:rPr>
          <w:rFonts w:ascii="Calibri" w:eastAsia="Times New Roman" w:hAnsi="Calibri" w:cs="Calibri"/>
        </w:rPr>
        <w:t>CCD</w:t>
      </w:r>
      <w:r>
        <w:rPr>
          <w:rFonts w:ascii="Calibri" w:eastAsia="Times New Roman" w:hAnsi="Calibri" w:cs="Calibri"/>
        </w:rPr>
        <w:t xml:space="preserve"> </w:t>
      </w:r>
      <w:r w:rsidRPr="009E2EC4">
        <w:rPr>
          <w:rFonts w:ascii="Calibri" w:eastAsia="Times New Roman" w:hAnsi="Calibri" w:cs="Calibri"/>
        </w:rPr>
        <w:t>entre fournisseur et client</w:t>
      </w:r>
      <w:r>
        <w:rPr>
          <w:rFonts w:ascii="Calibri" w:eastAsia="Times New Roman" w:hAnsi="Calibri" w:cs="Calibri"/>
        </w:rPr>
        <w:t>,</w:t>
      </w:r>
      <w:r w:rsidRPr="009E2EC4">
        <w:rPr>
          <w:rFonts w:ascii="Calibri" w:eastAsia="Times New Roman" w:hAnsi="Calibri" w:cs="Calibri"/>
        </w:rPr>
        <w:t xml:space="preserve"> enregistrés par les deux comptables </w:t>
      </w:r>
      <w:r>
        <w:rPr>
          <w:rFonts w:ascii="Calibri" w:eastAsia="Times New Roman" w:hAnsi="Calibri" w:cs="Calibri"/>
        </w:rPr>
        <w:t>si et quand ils se produisent</w:t>
      </w:r>
      <w:r w:rsidRPr="009E2EC4">
        <w:rPr>
          <w:rFonts w:ascii="Calibri" w:eastAsia="Times New Roman" w:hAnsi="Calibri" w:cs="Calibri"/>
        </w:rPr>
        <w:t>.</w:t>
      </w:r>
      <w:r>
        <w:rPr>
          <w:rFonts w:ascii="Calibri" w:eastAsia="Times New Roman" w:hAnsi="Calibri" w:cs="Calibri"/>
        </w:rPr>
        <w:t xml:space="preserve"> (</w:t>
      </w:r>
      <w:r w:rsidRPr="009166ED">
        <w:rPr>
          <w:rFonts w:ascii="Calibri" w:eastAsia="Times New Roman" w:hAnsi="Calibri" w:cs="Calibri"/>
          <w:i/>
          <w:iCs/>
        </w:rPr>
        <w:t>Ces accords donnent une base comptable auditable aux mécanismes de compensation.</w:t>
      </w:r>
      <w:r>
        <w:rPr>
          <w:rFonts w:ascii="Calibri" w:eastAsia="Times New Roman" w:hAnsi="Calibri" w:cs="Calibri"/>
        </w:rPr>
        <w:t>)</w:t>
      </w:r>
    </w:p>
    <w:p w14:paraId="4E009332" w14:textId="77777777" w:rsidR="002C3FB5" w:rsidRPr="009E2EC4" w:rsidRDefault="002C3FB5" w:rsidP="002C3FB5">
      <w:pPr>
        <w:jc w:val="both"/>
        <w:rPr>
          <w:rFonts w:ascii="Calibri" w:eastAsia="Times New Roman" w:hAnsi="Calibri" w:cs="Calibri"/>
        </w:rPr>
      </w:pPr>
    </w:p>
    <w:p w14:paraId="071BCC6B" w14:textId="77777777" w:rsidR="002C3FB5" w:rsidRPr="00844EAE" w:rsidRDefault="002C3FB5" w:rsidP="002C3FB5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La décarbonation par </w:t>
      </w:r>
      <w:r w:rsidRPr="00844EAE">
        <w:rPr>
          <w:rFonts w:ascii="Calibri" w:eastAsia="Times New Roman" w:hAnsi="Calibri" w:cs="Calibri"/>
          <w:b/>
          <w:bCs/>
        </w:rPr>
        <w:t>substitution</w:t>
      </w:r>
    </w:p>
    <w:p w14:paraId="507DE3E3" w14:textId="77777777" w:rsidR="002C3FB5" w:rsidRPr="009E2EC4" w:rsidRDefault="002C3FB5" w:rsidP="002C3FB5">
      <w:pPr>
        <w:jc w:val="both"/>
        <w:rPr>
          <w:rFonts w:ascii="Calibri" w:eastAsia="Times New Roman" w:hAnsi="Calibri" w:cs="Calibri"/>
        </w:rPr>
      </w:pPr>
    </w:p>
    <w:p w14:paraId="089C4C17" w14:textId="6CAF5EFA" w:rsidR="002C3FB5" w:rsidRPr="009E2EC4" w:rsidRDefault="003D42AF" w:rsidP="002C3FB5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Il reste à mesurer l’impact de la variation en volume de l’activité d’une année à l’autre. </w:t>
      </w:r>
      <w:r w:rsidR="002C3FB5" w:rsidRPr="009E2EC4">
        <w:rPr>
          <w:rFonts w:ascii="Calibri" w:eastAsia="Times New Roman" w:hAnsi="Calibri" w:cs="Calibri"/>
        </w:rPr>
        <w:t xml:space="preserve">La troisième façon pour </w:t>
      </w:r>
      <w:r w:rsidR="002C3FB5">
        <w:rPr>
          <w:rFonts w:ascii="Calibri" w:eastAsia="Times New Roman" w:hAnsi="Calibri" w:cs="Calibri"/>
        </w:rPr>
        <w:t xml:space="preserve">une organisation </w:t>
      </w:r>
      <w:r w:rsidR="002C3FB5" w:rsidRPr="009E2EC4">
        <w:rPr>
          <w:rFonts w:ascii="Calibri" w:eastAsia="Times New Roman" w:hAnsi="Calibri" w:cs="Calibri"/>
        </w:rPr>
        <w:t xml:space="preserve">de décarboner est </w:t>
      </w:r>
      <w:r w:rsidR="00A61395" w:rsidRPr="009E2EC4">
        <w:rPr>
          <w:rFonts w:ascii="Calibri" w:eastAsia="Times New Roman" w:hAnsi="Calibri" w:cs="Calibri"/>
        </w:rPr>
        <w:t>l’effet de substitutio</w:t>
      </w:r>
      <w:r w:rsidR="00236FA2">
        <w:rPr>
          <w:rFonts w:ascii="Calibri" w:eastAsia="Times New Roman" w:hAnsi="Calibri" w:cs="Calibri"/>
        </w:rPr>
        <w:t>n</w:t>
      </w:r>
      <w:r w:rsidR="002C3FB5" w:rsidRPr="009E2EC4">
        <w:rPr>
          <w:rFonts w:ascii="Calibri" w:eastAsia="Times New Roman" w:hAnsi="Calibri" w:cs="Calibri"/>
        </w:rPr>
        <w:t xml:space="preserve">, à </w:t>
      </w:r>
      <w:r w:rsidR="00FB2567">
        <w:rPr>
          <w:rFonts w:ascii="Calibri" w:eastAsia="Times New Roman" w:hAnsi="Calibri" w:cs="Calibri"/>
        </w:rPr>
        <w:t>FE</w:t>
      </w:r>
      <w:r w:rsidR="002C3FB5">
        <w:rPr>
          <w:rFonts w:ascii="Calibri" w:eastAsia="Times New Roman" w:hAnsi="Calibri" w:cs="Calibri"/>
        </w:rPr>
        <w:t xml:space="preserve"> </w:t>
      </w:r>
      <w:r w:rsidR="002C3FB5" w:rsidRPr="009E2EC4">
        <w:rPr>
          <w:rFonts w:ascii="Calibri" w:eastAsia="Times New Roman" w:hAnsi="Calibri" w:cs="Calibri"/>
        </w:rPr>
        <w:t>constant</w:t>
      </w:r>
      <w:r w:rsidR="00B54FEF">
        <w:rPr>
          <w:rFonts w:ascii="Calibri" w:eastAsia="Times New Roman" w:hAnsi="Calibri" w:cs="Calibri"/>
        </w:rPr>
        <w:t> </w:t>
      </w:r>
      <w:r w:rsidR="00FB2567">
        <w:rPr>
          <w:rFonts w:ascii="Calibri" w:eastAsia="Times New Roman" w:hAnsi="Calibri" w:cs="Calibri"/>
        </w:rPr>
        <w:t xml:space="preserve">de son activité </w:t>
      </w:r>
      <w:r w:rsidR="00C2776D">
        <w:rPr>
          <w:rFonts w:ascii="Calibri" w:eastAsia="Times New Roman" w:hAnsi="Calibri" w:cs="Calibri"/>
        </w:rPr>
        <w:t>(</w:t>
      </w:r>
      <w:r w:rsidR="00C2776D" w:rsidRPr="00C2776D">
        <w:rPr>
          <w:rFonts w:ascii="Calibri" w:eastAsia="Times New Roman" w:hAnsi="Calibri" w:cs="Calibri"/>
          <w:i/>
          <w:iCs/>
        </w:rPr>
        <w:t xml:space="preserve">FE </w:t>
      </w:r>
      <w:r w:rsidR="00C2776D" w:rsidRPr="00C2776D">
        <w:rPr>
          <w:rFonts w:ascii="Calibri" w:eastAsia="Times New Roman" w:hAnsi="Calibri" w:cs="Calibri"/>
          <w:i/>
          <w:iCs/>
          <w:u w:val="single"/>
        </w:rPr>
        <w:t>constant</w:t>
      </w:r>
      <w:r w:rsidR="00C2776D" w:rsidRPr="00C2776D">
        <w:rPr>
          <w:rFonts w:ascii="Calibri" w:eastAsia="Times New Roman" w:hAnsi="Calibri" w:cs="Calibri"/>
          <w:i/>
          <w:iCs/>
        </w:rPr>
        <w:t xml:space="preserve"> car </w:t>
      </w:r>
      <w:r w:rsidR="00802084">
        <w:rPr>
          <w:rFonts w:ascii="Calibri" w:eastAsia="Times New Roman" w:hAnsi="Calibri" w:cs="Calibri"/>
          <w:i/>
          <w:iCs/>
        </w:rPr>
        <w:t xml:space="preserve">l’impact de </w:t>
      </w:r>
      <w:r w:rsidR="00C2776D" w:rsidRPr="00C2776D">
        <w:rPr>
          <w:rFonts w:ascii="Calibri" w:eastAsia="Times New Roman" w:hAnsi="Calibri" w:cs="Calibri"/>
          <w:i/>
          <w:iCs/>
        </w:rPr>
        <w:t>la variation du FE a</w:t>
      </w:r>
      <w:r w:rsidR="00802084">
        <w:rPr>
          <w:rFonts w:ascii="Calibri" w:eastAsia="Times New Roman" w:hAnsi="Calibri" w:cs="Calibri"/>
          <w:i/>
          <w:iCs/>
        </w:rPr>
        <w:t xml:space="preserve"> </w:t>
      </w:r>
      <w:r w:rsidR="00C2776D" w:rsidRPr="00C2776D">
        <w:rPr>
          <w:rFonts w:ascii="Calibri" w:eastAsia="Times New Roman" w:hAnsi="Calibri" w:cs="Calibri"/>
          <w:i/>
          <w:iCs/>
        </w:rPr>
        <w:t>été intégré en 1</w:t>
      </w:r>
      <w:r w:rsidR="00C2776D">
        <w:rPr>
          <w:rFonts w:ascii="Calibri" w:eastAsia="Times New Roman" w:hAnsi="Calibri" w:cs="Calibri"/>
        </w:rPr>
        <w:t xml:space="preserve">) </w:t>
      </w:r>
      <w:r w:rsidR="00B54FEF">
        <w:rPr>
          <w:rFonts w:ascii="Calibri" w:eastAsia="Times New Roman" w:hAnsi="Calibri" w:cs="Calibri"/>
        </w:rPr>
        <w:t xml:space="preserve">: </w:t>
      </w:r>
      <w:r w:rsidR="00802084">
        <w:rPr>
          <w:rFonts w:ascii="Calibri" w:eastAsia="Times New Roman" w:hAnsi="Calibri" w:cs="Calibri"/>
        </w:rPr>
        <w:t xml:space="preserve">c’est l’impact de la </w:t>
      </w:r>
      <w:r w:rsidR="00B54FEF">
        <w:rPr>
          <w:rFonts w:ascii="Calibri" w:eastAsia="Times New Roman" w:hAnsi="Calibri" w:cs="Calibri"/>
        </w:rPr>
        <w:t xml:space="preserve">substitution, </w:t>
      </w:r>
      <w:r w:rsidR="004F5CE2">
        <w:rPr>
          <w:rFonts w:ascii="Calibri" w:eastAsia="Times New Roman" w:hAnsi="Calibri" w:cs="Calibri"/>
        </w:rPr>
        <w:t>à</w:t>
      </w:r>
      <w:r w:rsidR="002C3FB5" w:rsidRPr="009E2EC4">
        <w:rPr>
          <w:rFonts w:ascii="Calibri" w:eastAsia="Times New Roman" w:hAnsi="Calibri" w:cs="Calibri"/>
        </w:rPr>
        <w:t xml:space="preserve"> demande constante d’un </w:t>
      </w:r>
      <w:r w:rsidR="002C3FB5">
        <w:rPr>
          <w:rFonts w:ascii="Calibri" w:eastAsia="Times New Roman" w:hAnsi="Calibri" w:cs="Calibri"/>
        </w:rPr>
        <w:t>bien ou service</w:t>
      </w:r>
      <w:r w:rsidR="002C3FB5" w:rsidRPr="009E2EC4">
        <w:rPr>
          <w:rFonts w:ascii="Calibri" w:eastAsia="Times New Roman" w:hAnsi="Calibri" w:cs="Calibri"/>
        </w:rPr>
        <w:t xml:space="preserve">, </w:t>
      </w:r>
      <w:r w:rsidR="004F5CE2">
        <w:rPr>
          <w:rFonts w:ascii="Calibri" w:eastAsia="Times New Roman" w:hAnsi="Calibri" w:cs="Calibri"/>
        </w:rPr>
        <w:t>d’</w:t>
      </w:r>
      <w:r w:rsidR="002C3FB5">
        <w:rPr>
          <w:rFonts w:ascii="Calibri" w:eastAsia="Times New Roman" w:hAnsi="Calibri" w:cs="Calibri"/>
        </w:rPr>
        <w:t xml:space="preserve">un bien lourd en carbones par un concurrent plus léger. </w:t>
      </w:r>
      <w:r w:rsidR="004F5CE2">
        <w:rPr>
          <w:rFonts w:ascii="Calibri" w:eastAsia="Times New Roman" w:hAnsi="Calibri" w:cs="Calibri"/>
        </w:rPr>
        <w:t>L</w:t>
      </w:r>
      <w:r w:rsidR="002C3FB5" w:rsidRPr="009E2EC4">
        <w:rPr>
          <w:rFonts w:ascii="Calibri" w:eastAsia="Times New Roman" w:hAnsi="Calibri" w:cs="Calibri"/>
        </w:rPr>
        <w:t xml:space="preserve">’organisation </w:t>
      </w:r>
      <w:r w:rsidR="002C3FB5">
        <w:rPr>
          <w:rFonts w:ascii="Calibri" w:eastAsia="Times New Roman" w:hAnsi="Calibri" w:cs="Calibri"/>
        </w:rPr>
        <w:t xml:space="preserve">décarbone si elle </w:t>
      </w:r>
      <w:r w:rsidR="002C3FB5" w:rsidRPr="009E2EC4">
        <w:rPr>
          <w:rFonts w:ascii="Calibri" w:eastAsia="Times New Roman" w:hAnsi="Calibri" w:cs="Calibri"/>
        </w:rPr>
        <w:t xml:space="preserve">augmente </w:t>
      </w:r>
      <w:r w:rsidR="003841D9">
        <w:rPr>
          <w:rFonts w:ascii="Calibri" w:eastAsia="Times New Roman" w:hAnsi="Calibri" w:cs="Calibri"/>
        </w:rPr>
        <w:t xml:space="preserve">les quantités vendues ou diffusées </w:t>
      </w:r>
      <w:r w:rsidR="00E86A69">
        <w:rPr>
          <w:rFonts w:ascii="Calibri" w:eastAsia="Times New Roman" w:hAnsi="Calibri" w:cs="Calibri"/>
        </w:rPr>
        <w:t xml:space="preserve">avec une offre </w:t>
      </w:r>
      <w:r w:rsidR="002C3FB5">
        <w:rPr>
          <w:rFonts w:ascii="Calibri" w:eastAsia="Times New Roman" w:hAnsi="Calibri" w:cs="Calibri"/>
        </w:rPr>
        <w:t>plus légère que ses concurrent</w:t>
      </w:r>
      <w:r w:rsidR="003841D9">
        <w:rPr>
          <w:rFonts w:ascii="Calibri" w:eastAsia="Times New Roman" w:hAnsi="Calibri" w:cs="Calibri"/>
        </w:rPr>
        <w:t>e</w:t>
      </w:r>
      <w:r w:rsidR="002C3FB5">
        <w:rPr>
          <w:rFonts w:ascii="Calibri" w:eastAsia="Times New Roman" w:hAnsi="Calibri" w:cs="Calibri"/>
        </w:rPr>
        <w:t xml:space="preserve">s, ou si elle </w:t>
      </w:r>
      <w:r w:rsidR="002C3FB5" w:rsidRPr="009E2EC4">
        <w:rPr>
          <w:rFonts w:ascii="Calibri" w:eastAsia="Times New Roman" w:hAnsi="Calibri" w:cs="Calibri"/>
        </w:rPr>
        <w:t>la rédui</w:t>
      </w:r>
      <w:r w:rsidR="002C3FB5">
        <w:rPr>
          <w:rFonts w:ascii="Calibri" w:eastAsia="Times New Roman" w:hAnsi="Calibri" w:cs="Calibri"/>
        </w:rPr>
        <w:t>t</w:t>
      </w:r>
      <w:r w:rsidR="002C3FB5" w:rsidRPr="009E2EC4">
        <w:rPr>
          <w:rFonts w:ascii="Calibri" w:eastAsia="Times New Roman" w:hAnsi="Calibri" w:cs="Calibri"/>
        </w:rPr>
        <w:t xml:space="preserve"> </w:t>
      </w:r>
      <w:r w:rsidR="001E6534">
        <w:rPr>
          <w:rFonts w:ascii="Calibri" w:eastAsia="Times New Roman" w:hAnsi="Calibri" w:cs="Calibri"/>
        </w:rPr>
        <w:t>en ayant</w:t>
      </w:r>
      <w:r w:rsidR="009B6EC5">
        <w:rPr>
          <w:rFonts w:ascii="Calibri" w:eastAsia="Times New Roman" w:hAnsi="Calibri" w:cs="Calibri"/>
        </w:rPr>
        <w:t xml:space="preserve"> une offre </w:t>
      </w:r>
      <w:r w:rsidR="002C3FB5">
        <w:rPr>
          <w:rFonts w:ascii="Calibri" w:eastAsia="Times New Roman" w:hAnsi="Calibri" w:cs="Calibri"/>
        </w:rPr>
        <w:t>plus lourde</w:t>
      </w:r>
      <w:r w:rsidR="002C3FB5" w:rsidRPr="009E2EC4">
        <w:rPr>
          <w:rFonts w:ascii="Calibri" w:eastAsia="Times New Roman" w:hAnsi="Calibri" w:cs="Calibri"/>
        </w:rPr>
        <w:t>.</w:t>
      </w:r>
    </w:p>
    <w:p w14:paraId="6F1FD2EA" w14:textId="77777777" w:rsidR="002C3FB5" w:rsidRPr="009E2EC4" w:rsidRDefault="002C3FB5" w:rsidP="002C3FB5">
      <w:pPr>
        <w:jc w:val="both"/>
        <w:rPr>
          <w:rFonts w:ascii="Calibri" w:eastAsia="Times New Roman" w:hAnsi="Calibri" w:cs="Calibri"/>
        </w:rPr>
      </w:pPr>
    </w:p>
    <w:p w14:paraId="32EB3C91" w14:textId="07F8740B" w:rsidR="002C3FB5" w:rsidRPr="009E2EC4" w:rsidRDefault="002C3FB5" w:rsidP="002C3FB5">
      <w:pPr>
        <w:jc w:val="both"/>
        <w:rPr>
          <w:rFonts w:ascii="Calibri" w:eastAsia="Times New Roman" w:hAnsi="Calibri" w:cs="Calibri"/>
        </w:rPr>
      </w:pPr>
      <w:r w:rsidRPr="009E2EC4">
        <w:rPr>
          <w:rFonts w:ascii="Calibri" w:eastAsia="Times New Roman" w:hAnsi="Calibri" w:cs="Calibri"/>
        </w:rPr>
        <w:t xml:space="preserve">Le </w:t>
      </w:r>
      <w:r>
        <w:rPr>
          <w:rFonts w:ascii="Calibri" w:eastAsia="Times New Roman" w:hAnsi="Calibri" w:cs="Calibri"/>
        </w:rPr>
        <w:t xml:space="preserve">calcul de la </w:t>
      </w:r>
      <w:r w:rsidR="00ED568F">
        <w:rPr>
          <w:rFonts w:ascii="Calibri" w:eastAsia="Times New Roman" w:hAnsi="Calibri" w:cs="Calibri"/>
        </w:rPr>
        <w:t>CCD</w:t>
      </w:r>
      <w:r>
        <w:rPr>
          <w:rFonts w:ascii="Calibri" w:eastAsia="Times New Roman" w:hAnsi="Calibri" w:cs="Calibri"/>
        </w:rPr>
        <w:t xml:space="preserve"> correspondante est </w:t>
      </w:r>
      <w:r w:rsidR="003841D9">
        <w:rPr>
          <w:rFonts w:ascii="Calibri" w:eastAsia="Times New Roman" w:hAnsi="Calibri" w:cs="Calibri"/>
        </w:rPr>
        <w:t>à nouveau</w:t>
      </w:r>
      <w:r>
        <w:rPr>
          <w:rFonts w:ascii="Calibri" w:eastAsia="Times New Roman" w:hAnsi="Calibri" w:cs="Calibri"/>
        </w:rPr>
        <w:t xml:space="preserve"> automatique : c’est le produit de la variation des quantités de l’organisation par l’écart du </w:t>
      </w:r>
      <w:r w:rsidR="00A55A20">
        <w:rPr>
          <w:rFonts w:ascii="Calibri" w:eastAsia="Times New Roman" w:hAnsi="Calibri" w:cs="Calibri"/>
        </w:rPr>
        <w:t>FE</w:t>
      </w:r>
      <w:r w:rsidR="00E70007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de l’organisation </w:t>
      </w:r>
      <w:r w:rsidR="004210D2">
        <w:rPr>
          <w:rFonts w:ascii="Calibri" w:eastAsia="Times New Roman" w:hAnsi="Calibri" w:cs="Calibri"/>
        </w:rPr>
        <w:t xml:space="preserve">au FE </w:t>
      </w:r>
      <w:r>
        <w:rPr>
          <w:rFonts w:ascii="Calibri" w:eastAsia="Times New Roman" w:hAnsi="Calibri" w:cs="Calibri"/>
        </w:rPr>
        <w:t xml:space="preserve">moyen du marché. </w:t>
      </w:r>
      <w:r w:rsidRPr="009E2EC4">
        <w:rPr>
          <w:rFonts w:ascii="Calibri" w:eastAsia="Times New Roman" w:hAnsi="Calibri" w:cs="Calibri"/>
        </w:rPr>
        <w:t xml:space="preserve">La balle est dans le camp des </w:t>
      </w:r>
      <w:r>
        <w:rPr>
          <w:rFonts w:ascii="Calibri" w:eastAsia="Times New Roman" w:hAnsi="Calibri" w:cs="Calibri"/>
        </w:rPr>
        <w:t>statistique</w:t>
      </w:r>
      <w:r w:rsidRPr="009E2EC4">
        <w:rPr>
          <w:rFonts w:ascii="Calibri" w:eastAsia="Times New Roman" w:hAnsi="Calibri" w:cs="Calibri"/>
        </w:rPr>
        <w:t>s publi</w:t>
      </w:r>
      <w:r>
        <w:rPr>
          <w:rFonts w:ascii="Calibri" w:eastAsia="Times New Roman" w:hAnsi="Calibri" w:cs="Calibri"/>
        </w:rPr>
        <w:t>que</w:t>
      </w:r>
      <w:r w:rsidRPr="009E2EC4">
        <w:rPr>
          <w:rFonts w:ascii="Calibri" w:eastAsia="Times New Roman" w:hAnsi="Calibri" w:cs="Calibri"/>
        </w:rPr>
        <w:t xml:space="preserve">s pour </w:t>
      </w:r>
      <w:r>
        <w:rPr>
          <w:rFonts w:ascii="Calibri" w:eastAsia="Times New Roman" w:hAnsi="Calibri" w:cs="Calibri"/>
        </w:rPr>
        <w:t>estim</w:t>
      </w:r>
      <w:r w:rsidRPr="009E2EC4">
        <w:rPr>
          <w:rFonts w:ascii="Calibri" w:eastAsia="Times New Roman" w:hAnsi="Calibri" w:cs="Calibri"/>
        </w:rPr>
        <w:t xml:space="preserve">er ces </w:t>
      </w:r>
      <w:r w:rsidR="00C83171">
        <w:rPr>
          <w:rFonts w:ascii="Calibri" w:eastAsia="Times New Roman" w:hAnsi="Calibri" w:cs="Calibri"/>
        </w:rPr>
        <w:t>FE</w:t>
      </w:r>
      <w:r w:rsidR="00E70007">
        <w:rPr>
          <w:rFonts w:ascii="Calibri" w:eastAsia="Times New Roman" w:hAnsi="Calibri" w:cs="Calibri"/>
        </w:rPr>
        <w:t xml:space="preserve"> </w:t>
      </w:r>
      <w:r w:rsidR="00AE07B6">
        <w:rPr>
          <w:rFonts w:ascii="Calibri" w:eastAsia="Times New Roman" w:hAnsi="Calibri" w:cs="Calibri"/>
        </w:rPr>
        <w:t xml:space="preserve">moyens </w:t>
      </w:r>
      <w:r w:rsidRPr="009E2EC4">
        <w:rPr>
          <w:rFonts w:ascii="Calibri" w:eastAsia="Times New Roman" w:hAnsi="Calibri" w:cs="Calibri"/>
        </w:rPr>
        <w:t xml:space="preserve">pour les activités les plus </w:t>
      </w:r>
      <w:r w:rsidR="002001A6">
        <w:rPr>
          <w:rFonts w:ascii="Calibri" w:eastAsia="Times New Roman" w:hAnsi="Calibri" w:cs="Calibri"/>
        </w:rPr>
        <w:t>significativ</w:t>
      </w:r>
      <w:r w:rsidRPr="009E2EC4">
        <w:rPr>
          <w:rFonts w:ascii="Calibri" w:eastAsia="Times New Roman" w:hAnsi="Calibri" w:cs="Calibri"/>
        </w:rPr>
        <w:t xml:space="preserve">es </w:t>
      </w:r>
      <w:r>
        <w:rPr>
          <w:rFonts w:ascii="Calibri" w:eastAsia="Times New Roman" w:hAnsi="Calibri" w:cs="Calibri"/>
        </w:rPr>
        <w:t xml:space="preserve">en carbones </w:t>
      </w:r>
      <w:r w:rsidRPr="009E2EC4">
        <w:rPr>
          <w:rFonts w:ascii="Calibri" w:eastAsia="Times New Roman" w:hAnsi="Calibri" w:cs="Calibri"/>
        </w:rPr>
        <w:t xml:space="preserve">(combustibles, </w:t>
      </w:r>
      <w:r w:rsidR="002001A6">
        <w:rPr>
          <w:rFonts w:ascii="Calibri" w:eastAsia="Times New Roman" w:hAnsi="Calibri" w:cs="Calibri"/>
        </w:rPr>
        <w:t xml:space="preserve">engrais, </w:t>
      </w:r>
      <w:r w:rsidRPr="009E2EC4">
        <w:rPr>
          <w:rFonts w:ascii="Calibri" w:eastAsia="Times New Roman" w:hAnsi="Calibri" w:cs="Calibri"/>
        </w:rPr>
        <w:t>ciment…).</w:t>
      </w:r>
    </w:p>
    <w:p w14:paraId="057F4D56" w14:textId="77777777" w:rsidR="002C3FB5" w:rsidRPr="009E2EC4" w:rsidRDefault="002C3FB5" w:rsidP="002C3FB5">
      <w:pPr>
        <w:jc w:val="both"/>
        <w:rPr>
          <w:rFonts w:ascii="Calibri" w:eastAsia="Times New Roman" w:hAnsi="Calibri" w:cs="Calibri"/>
        </w:rPr>
      </w:pPr>
    </w:p>
    <w:p w14:paraId="7FC69ABB" w14:textId="7BCA9280" w:rsidR="002C3FB5" w:rsidRPr="00200F3F" w:rsidRDefault="002C3FB5" w:rsidP="002C3FB5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200F3F">
        <w:rPr>
          <w:rFonts w:ascii="Calibri" w:eastAsia="Times New Roman" w:hAnsi="Calibri" w:cs="Calibri"/>
          <w:b/>
          <w:bCs/>
        </w:rPr>
        <w:t>L’effet de la croissance ou de la baisse d</w:t>
      </w:r>
      <w:r w:rsidR="001050B8">
        <w:rPr>
          <w:rFonts w:ascii="Calibri" w:eastAsia="Times New Roman" w:hAnsi="Calibri" w:cs="Calibri"/>
          <w:b/>
          <w:bCs/>
        </w:rPr>
        <w:t xml:space="preserve">u </w:t>
      </w:r>
      <w:r w:rsidRPr="00200F3F">
        <w:rPr>
          <w:rFonts w:ascii="Calibri" w:eastAsia="Times New Roman" w:hAnsi="Calibri" w:cs="Calibri"/>
          <w:b/>
          <w:bCs/>
        </w:rPr>
        <w:t>marché</w:t>
      </w:r>
      <w:r w:rsidR="001050B8">
        <w:rPr>
          <w:rFonts w:ascii="Calibri" w:eastAsia="Times New Roman" w:hAnsi="Calibri" w:cs="Calibri"/>
          <w:b/>
          <w:bCs/>
        </w:rPr>
        <w:t xml:space="preserve"> de l’activité</w:t>
      </w:r>
    </w:p>
    <w:p w14:paraId="012AE482" w14:textId="77777777" w:rsidR="002C3FB5" w:rsidRPr="009E2EC4" w:rsidRDefault="002C3FB5" w:rsidP="002C3FB5">
      <w:pPr>
        <w:jc w:val="both"/>
        <w:rPr>
          <w:rFonts w:ascii="Calibri" w:eastAsia="Times New Roman" w:hAnsi="Calibri" w:cs="Calibri"/>
        </w:rPr>
      </w:pPr>
    </w:p>
    <w:p w14:paraId="658D0A58" w14:textId="1588680C" w:rsidR="002C3FB5" w:rsidRPr="009E2EC4" w:rsidRDefault="002C3FB5" w:rsidP="002C3FB5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Il demeure à l’issue de ces calculs un solde de contribution à la décarbonation </w:t>
      </w:r>
      <w:r w:rsidR="00A52BCA">
        <w:rPr>
          <w:rFonts w:ascii="Calibri" w:eastAsia="Times New Roman" w:hAnsi="Calibri" w:cs="Calibri"/>
        </w:rPr>
        <w:t>car l’hypothèse en 3- d</w:t>
      </w:r>
      <w:r w:rsidR="00F62E54">
        <w:rPr>
          <w:rFonts w:ascii="Calibri" w:eastAsia="Times New Roman" w:hAnsi="Calibri" w:cs="Calibri"/>
        </w:rPr>
        <w:t xml:space="preserve">’un marché stable </w:t>
      </w:r>
      <w:r w:rsidR="000264AB">
        <w:rPr>
          <w:rFonts w:ascii="Calibri" w:eastAsia="Times New Roman" w:hAnsi="Calibri" w:cs="Calibri"/>
        </w:rPr>
        <w:t>ne tient en général pas et</w:t>
      </w:r>
      <w:r w:rsidR="00A52BCA">
        <w:rPr>
          <w:rFonts w:ascii="Calibri" w:eastAsia="Times New Roman" w:hAnsi="Calibri" w:cs="Calibri"/>
        </w:rPr>
        <w:t xml:space="preserve"> </w:t>
      </w:r>
      <w:r w:rsidRPr="009E2EC4">
        <w:rPr>
          <w:rFonts w:ascii="Calibri" w:eastAsia="Times New Roman" w:hAnsi="Calibri" w:cs="Calibri"/>
        </w:rPr>
        <w:t xml:space="preserve">la </w:t>
      </w:r>
      <w:r w:rsidR="008C1826">
        <w:rPr>
          <w:rFonts w:ascii="Calibri" w:eastAsia="Times New Roman" w:hAnsi="Calibri" w:cs="Calibri"/>
        </w:rPr>
        <w:t xml:space="preserve">variation de </w:t>
      </w:r>
      <w:r w:rsidRPr="009E2EC4">
        <w:rPr>
          <w:rFonts w:ascii="Calibri" w:eastAsia="Times New Roman" w:hAnsi="Calibri" w:cs="Calibri"/>
        </w:rPr>
        <w:t xml:space="preserve">taille </w:t>
      </w:r>
      <w:r w:rsidR="002B113B">
        <w:rPr>
          <w:rFonts w:ascii="Calibri" w:eastAsia="Times New Roman" w:hAnsi="Calibri" w:cs="Calibri"/>
        </w:rPr>
        <w:t>impacte la décarbonation</w:t>
      </w:r>
      <w:r w:rsidRPr="009E2EC4">
        <w:rPr>
          <w:rFonts w:ascii="Calibri" w:eastAsia="Times New Roman" w:hAnsi="Calibri" w:cs="Calibri"/>
        </w:rPr>
        <w:t xml:space="preserve">. </w:t>
      </w:r>
      <w:r>
        <w:rPr>
          <w:rFonts w:ascii="Calibri" w:eastAsia="Times New Roman" w:hAnsi="Calibri" w:cs="Calibri"/>
        </w:rPr>
        <w:t xml:space="preserve">L’attribution </w:t>
      </w:r>
      <w:r w:rsidR="007F3B84">
        <w:rPr>
          <w:rFonts w:ascii="Calibri" w:eastAsia="Times New Roman" w:hAnsi="Calibri" w:cs="Calibri"/>
        </w:rPr>
        <w:t xml:space="preserve">de ce solde </w:t>
      </w:r>
      <w:r w:rsidR="00564B9E">
        <w:rPr>
          <w:rFonts w:ascii="Calibri" w:eastAsia="Times New Roman" w:hAnsi="Calibri" w:cs="Calibri"/>
        </w:rPr>
        <w:t xml:space="preserve">à une organisation ou à une autre </w:t>
      </w:r>
      <w:r>
        <w:rPr>
          <w:rFonts w:ascii="Calibri" w:eastAsia="Times New Roman" w:hAnsi="Calibri" w:cs="Calibri"/>
        </w:rPr>
        <w:t xml:space="preserve">nécessite un accord de nature politique : la variation </w:t>
      </w:r>
      <w:r w:rsidR="00863402">
        <w:rPr>
          <w:rFonts w:ascii="Calibri" w:eastAsia="Times New Roman" w:hAnsi="Calibri" w:cs="Calibri"/>
        </w:rPr>
        <w:t xml:space="preserve">de taille </w:t>
      </w:r>
      <w:r>
        <w:rPr>
          <w:rFonts w:ascii="Calibri" w:eastAsia="Times New Roman" w:hAnsi="Calibri" w:cs="Calibri"/>
        </w:rPr>
        <w:t xml:space="preserve">est-elle </w:t>
      </w:r>
      <w:r w:rsidR="00863402">
        <w:rPr>
          <w:rFonts w:ascii="Calibri" w:eastAsia="Times New Roman" w:hAnsi="Calibri" w:cs="Calibri"/>
        </w:rPr>
        <w:t xml:space="preserve">jugée positivement ou négativement par la </w:t>
      </w:r>
      <w:r>
        <w:rPr>
          <w:rFonts w:ascii="Calibri" w:eastAsia="Times New Roman" w:hAnsi="Calibri" w:cs="Calibri"/>
        </w:rPr>
        <w:t>collectiv</w:t>
      </w:r>
      <w:r w:rsidR="00863402">
        <w:rPr>
          <w:rFonts w:ascii="Calibri" w:eastAsia="Times New Roman" w:hAnsi="Calibri" w:cs="Calibri"/>
        </w:rPr>
        <w:t>ité</w:t>
      </w:r>
      <w:r>
        <w:rPr>
          <w:rFonts w:ascii="Calibri" w:eastAsia="Times New Roman" w:hAnsi="Calibri" w:cs="Calibri"/>
        </w:rPr>
        <w:t xml:space="preserve"> ? Cette responsabilité collective doit-elle être imputée aux </w:t>
      </w:r>
      <w:r w:rsidRPr="009E2EC4">
        <w:rPr>
          <w:rFonts w:ascii="Calibri" w:eastAsia="Times New Roman" w:hAnsi="Calibri" w:cs="Calibri"/>
        </w:rPr>
        <w:t>clients</w:t>
      </w:r>
      <w:r>
        <w:rPr>
          <w:rFonts w:ascii="Calibri" w:eastAsia="Times New Roman" w:hAnsi="Calibri" w:cs="Calibri"/>
        </w:rPr>
        <w:t>,</w:t>
      </w:r>
      <w:r w:rsidRPr="009E2EC4">
        <w:rPr>
          <w:rFonts w:ascii="Calibri" w:eastAsia="Times New Roman" w:hAnsi="Calibri" w:cs="Calibri"/>
        </w:rPr>
        <w:t xml:space="preserve"> aux fournisseurs</w:t>
      </w:r>
      <w:r>
        <w:rPr>
          <w:rFonts w:ascii="Calibri" w:eastAsia="Times New Roman" w:hAnsi="Calibri" w:cs="Calibri"/>
        </w:rPr>
        <w:t xml:space="preserve">, dans quelle proportion ? </w:t>
      </w:r>
    </w:p>
    <w:p w14:paraId="6ED2B7DF" w14:textId="77777777" w:rsidR="002C3FB5" w:rsidRPr="009E2EC4" w:rsidRDefault="002C3FB5" w:rsidP="002C3FB5">
      <w:pPr>
        <w:jc w:val="both"/>
        <w:rPr>
          <w:rFonts w:ascii="Calibri" w:hAnsi="Calibri" w:cs="Calibri"/>
        </w:rPr>
      </w:pPr>
    </w:p>
    <w:p w14:paraId="738A23C6" w14:textId="77777777" w:rsidR="00342605" w:rsidRPr="00E723F9" w:rsidRDefault="00342605" w:rsidP="00E723F9">
      <w:pPr>
        <w:jc w:val="both"/>
        <w:rPr>
          <w:rFonts w:ascii="Calibri" w:eastAsia="Times New Roman" w:hAnsi="Calibri" w:cs="Calibri"/>
        </w:rPr>
      </w:pPr>
    </w:p>
    <w:p w14:paraId="42DCCD5E" w14:textId="77777777" w:rsidR="00FB3547" w:rsidRPr="00E723F9" w:rsidRDefault="00FB3547" w:rsidP="00E723F9">
      <w:pPr>
        <w:jc w:val="both"/>
        <w:rPr>
          <w:rFonts w:ascii="Calibri" w:eastAsia="Times New Roman" w:hAnsi="Calibri" w:cs="Calibri"/>
        </w:rPr>
      </w:pPr>
    </w:p>
    <w:sectPr w:rsidR="00FB3547" w:rsidRPr="00E72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135F" w14:textId="77777777" w:rsidR="00D32426" w:rsidRDefault="00D32426" w:rsidP="0073770A">
      <w:r>
        <w:separator/>
      </w:r>
    </w:p>
  </w:endnote>
  <w:endnote w:type="continuationSeparator" w:id="0">
    <w:p w14:paraId="389C9CEE" w14:textId="77777777" w:rsidR="00D32426" w:rsidRDefault="00D32426" w:rsidP="0073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1A92" w14:textId="77777777" w:rsidR="00D32426" w:rsidRDefault="00D32426" w:rsidP="0073770A">
      <w:r>
        <w:separator/>
      </w:r>
    </w:p>
  </w:footnote>
  <w:footnote w:type="continuationSeparator" w:id="0">
    <w:p w14:paraId="644089C1" w14:textId="77777777" w:rsidR="00D32426" w:rsidRDefault="00D32426" w:rsidP="0073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7A7"/>
    <w:multiLevelType w:val="hybridMultilevel"/>
    <w:tmpl w:val="7B7A9C04"/>
    <w:lvl w:ilvl="0" w:tplc="32D8FE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27C27"/>
    <w:multiLevelType w:val="hybridMultilevel"/>
    <w:tmpl w:val="4B8E1DF6"/>
    <w:lvl w:ilvl="0" w:tplc="19A64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21BA"/>
    <w:multiLevelType w:val="hybridMultilevel"/>
    <w:tmpl w:val="2E9C75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3007D"/>
    <w:multiLevelType w:val="hybridMultilevel"/>
    <w:tmpl w:val="BF26B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E2FAE"/>
    <w:multiLevelType w:val="hybridMultilevel"/>
    <w:tmpl w:val="04466106"/>
    <w:lvl w:ilvl="0" w:tplc="32D8F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C551E"/>
    <w:multiLevelType w:val="hybridMultilevel"/>
    <w:tmpl w:val="9CB66662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66650"/>
    <w:multiLevelType w:val="hybridMultilevel"/>
    <w:tmpl w:val="4A40FE7C"/>
    <w:lvl w:ilvl="0" w:tplc="16286B3C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B6682"/>
    <w:multiLevelType w:val="hybridMultilevel"/>
    <w:tmpl w:val="9CB6666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35DB3"/>
    <w:multiLevelType w:val="hybridMultilevel"/>
    <w:tmpl w:val="393AB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10EC1"/>
    <w:multiLevelType w:val="hybridMultilevel"/>
    <w:tmpl w:val="F05EC66C"/>
    <w:lvl w:ilvl="0" w:tplc="040A40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1463F"/>
    <w:multiLevelType w:val="hybridMultilevel"/>
    <w:tmpl w:val="9BE6572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FD49B5"/>
    <w:multiLevelType w:val="hybridMultilevel"/>
    <w:tmpl w:val="2F6CB2BC"/>
    <w:lvl w:ilvl="0" w:tplc="E9D41694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775A589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CB11FE"/>
    <w:multiLevelType w:val="hybridMultilevel"/>
    <w:tmpl w:val="1270D45E"/>
    <w:lvl w:ilvl="0" w:tplc="32D8F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51FD3"/>
    <w:multiLevelType w:val="hybridMultilevel"/>
    <w:tmpl w:val="4E5818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1E1B94"/>
    <w:multiLevelType w:val="hybridMultilevel"/>
    <w:tmpl w:val="47CE1A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C8714D"/>
    <w:multiLevelType w:val="hybridMultilevel"/>
    <w:tmpl w:val="58F4DCAC"/>
    <w:lvl w:ilvl="0" w:tplc="A7A4EF0C">
      <w:start w:val="2"/>
      <w:numFmt w:val="upperRoman"/>
      <w:lvlText w:val="%1-"/>
      <w:lvlJc w:val="left"/>
      <w:pPr>
        <w:ind w:left="1080" w:hanging="720"/>
      </w:pPr>
      <w:rPr>
        <w:rFonts w:eastAsiaTheme="majorEastAsia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01638">
    <w:abstractNumId w:val="10"/>
  </w:num>
  <w:num w:numId="2" w16cid:durableId="1219319126">
    <w:abstractNumId w:val="3"/>
  </w:num>
  <w:num w:numId="3" w16cid:durableId="1592356061">
    <w:abstractNumId w:val="4"/>
  </w:num>
  <w:num w:numId="4" w16cid:durableId="356007696">
    <w:abstractNumId w:val="0"/>
  </w:num>
  <w:num w:numId="5" w16cid:durableId="1182746314">
    <w:abstractNumId w:val="12"/>
  </w:num>
  <w:num w:numId="6" w16cid:durableId="784541463">
    <w:abstractNumId w:val="5"/>
  </w:num>
  <w:num w:numId="7" w16cid:durableId="404424570">
    <w:abstractNumId w:val="11"/>
  </w:num>
  <w:num w:numId="8" w16cid:durableId="706102716">
    <w:abstractNumId w:val="13"/>
  </w:num>
  <w:num w:numId="9" w16cid:durableId="1562206166">
    <w:abstractNumId w:val="7"/>
  </w:num>
  <w:num w:numId="10" w16cid:durableId="2042972261">
    <w:abstractNumId w:val="1"/>
  </w:num>
  <w:num w:numId="11" w16cid:durableId="2143033999">
    <w:abstractNumId w:val="2"/>
  </w:num>
  <w:num w:numId="12" w16cid:durableId="282276819">
    <w:abstractNumId w:val="15"/>
  </w:num>
  <w:num w:numId="13" w16cid:durableId="1227910177">
    <w:abstractNumId w:val="14"/>
  </w:num>
  <w:num w:numId="14" w16cid:durableId="853306945">
    <w:abstractNumId w:val="6"/>
  </w:num>
  <w:num w:numId="15" w16cid:durableId="1423141985">
    <w:abstractNumId w:val="9"/>
  </w:num>
  <w:num w:numId="16" w16cid:durableId="1421413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A0"/>
    <w:rsid w:val="000000B1"/>
    <w:rsid w:val="000048F1"/>
    <w:rsid w:val="00010975"/>
    <w:rsid w:val="00011456"/>
    <w:rsid w:val="00014112"/>
    <w:rsid w:val="00015875"/>
    <w:rsid w:val="00015C0A"/>
    <w:rsid w:val="00016A27"/>
    <w:rsid w:val="00017AAD"/>
    <w:rsid w:val="000211D5"/>
    <w:rsid w:val="0002480C"/>
    <w:rsid w:val="000258F3"/>
    <w:rsid w:val="000264AB"/>
    <w:rsid w:val="00033F00"/>
    <w:rsid w:val="00044753"/>
    <w:rsid w:val="00044F56"/>
    <w:rsid w:val="000451FD"/>
    <w:rsid w:val="000452FD"/>
    <w:rsid w:val="00045CF8"/>
    <w:rsid w:val="00054EB3"/>
    <w:rsid w:val="0005514C"/>
    <w:rsid w:val="0005657A"/>
    <w:rsid w:val="00060787"/>
    <w:rsid w:val="000630E0"/>
    <w:rsid w:val="00063573"/>
    <w:rsid w:val="00085B87"/>
    <w:rsid w:val="00090CEA"/>
    <w:rsid w:val="0009101D"/>
    <w:rsid w:val="00096DD9"/>
    <w:rsid w:val="000A34DB"/>
    <w:rsid w:val="000A43D2"/>
    <w:rsid w:val="000A542D"/>
    <w:rsid w:val="000A7016"/>
    <w:rsid w:val="000B3A3D"/>
    <w:rsid w:val="000C0D95"/>
    <w:rsid w:val="000C25EB"/>
    <w:rsid w:val="000C421F"/>
    <w:rsid w:val="000C65A4"/>
    <w:rsid w:val="000D0F50"/>
    <w:rsid w:val="000D1C30"/>
    <w:rsid w:val="000D1DC3"/>
    <w:rsid w:val="000D2982"/>
    <w:rsid w:val="000D35B9"/>
    <w:rsid w:val="000D51E8"/>
    <w:rsid w:val="000D6D06"/>
    <w:rsid w:val="000E05FD"/>
    <w:rsid w:val="000E19CF"/>
    <w:rsid w:val="000E2F99"/>
    <w:rsid w:val="000E72EE"/>
    <w:rsid w:val="000E76B7"/>
    <w:rsid w:val="000E7900"/>
    <w:rsid w:val="000E79D2"/>
    <w:rsid w:val="000E7EFE"/>
    <w:rsid w:val="000F4671"/>
    <w:rsid w:val="000F4831"/>
    <w:rsid w:val="00104E82"/>
    <w:rsid w:val="001050B8"/>
    <w:rsid w:val="00105FAB"/>
    <w:rsid w:val="001110C3"/>
    <w:rsid w:val="0011330B"/>
    <w:rsid w:val="00115369"/>
    <w:rsid w:val="00115945"/>
    <w:rsid w:val="00132A65"/>
    <w:rsid w:val="001331FA"/>
    <w:rsid w:val="001424C7"/>
    <w:rsid w:val="0014592D"/>
    <w:rsid w:val="001522B0"/>
    <w:rsid w:val="00160372"/>
    <w:rsid w:val="001604B0"/>
    <w:rsid w:val="00163A9D"/>
    <w:rsid w:val="00164488"/>
    <w:rsid w:val="00165DDD"/>
    <w:rsid w:val="00166E0C"/>
    <w:rsid w:val="001705AB"/>
    <w:rsid w:val="0017442E"/>
    <w:rsid w:val="00174F82"/>
    <w:rsid w:val="00175A01"/>
    <w:rsid w:val="00176364"/>
    <w:rsid w:val="001763D7"/>
    <w:rsid w:val="0018216D"/>
    <w:rsid w:val="00184AA3"/>
    <w:rsid w:val="00187E0F"/>
    <w:rsid w:val="001946E3"/>
    <w:rsid w:val="001955A8"/>
    <w:rsid w:val="00195D26"/>
    <w:rsid w:val="001966F0"/>
    <w:rsid w:val="001B0EE1"/>
    <w:rsid w:val="001B5E18"/>
    <w:rsid w:val="001C3D95"/>
    <w:rsid w:val="001C5796"/>
    <w:rsid w:val="001C58A5"/>
    <w:rsid w:val="001D5D96"/>
    <w:rsid w:val="001E5938"/>
    <w:rsid w:val="001E6534"/>
    <w:rsid w:val="001E77B0"/>
    <w:rsid w:val="001F00DF"/>
    <w:rsid w:val="001F17A5"/>
    <w:rsid w:val="001F1BA0"/>
    <w:rsid w:val="001F2A5F"/>
    <w:rsid w:val="001F38EB"/>
    <w:rsid w:val="001F538A"/>
    <w:rsid w:val="001F7646"/>
    <w:rsid w:val="002001A6"/>
    <w:rsid w:val="00205CC2"/>
    <w:rsid w:val="00221DB1"/>
    <w:rsid w:val="00222037"/>
    <w:rsid w:val="00225844"/>
    <w:rsid w:val="002304E7"/>
    <w:rsid w:val="00230CC5"/>
    <w:rsid w:val="00231CF3"/>
    <w:rsid w:val="00231E0D"/>
    <w:rsid w:val="0023385F"/>
    <w:rsid w:val="00234FA4"/>
    <w:rsid w:val="00236FA2"/>
    <w:rsid w:val="00251314"/>
    <w:rsid w:val="00251D07"/>
    <w:rsid w:val="00254073"/>
    <w:rsid w:val="0025564E"/>
    <w:rsid w:val="00257201"/>
    <w:rsid w:val="00261E5B"/>
    <w:rsid w:val="002624D7"/>
    <w:rsid w:val="00264631"/>
    <w:rsid w:val="002747F2"/>
    <w:rsid w:val="00280015"/>
    <w:rsid w:val="0028134E"/>
    <w:rsid w:val="00284720"/>
    <w:rsid w:val="00295850"/>
    <w:rsid w:val="002977FA"/>
    <w:rsid w:val="002A1AD0"/>
    <w:rsid w:val="002A1E42"/>
    <w:rsid w:val="002B113B"/>
    <w:rsid w:val="002B3C79"/>
    <w:rsid w:val="002B450A"/>
    <w:rsid w:val="002B52A2"/>
    <w:rsid w:val="002C3FB5"/>
    <w:rsid w:val="002C52DF"/>
    <w:rsid w:val="002C7C42"/>
    <w:rsid w:val="002D0D10"/>
    <w:rsid w:val="002D175C"/>
    <w:rsid w:val="002D184C"/>
    <w:rsid w:val="002D1CB3"/>
    <w:rsid w:val="002E3214"/>
    <w:rsid w:val="002F4216"/>
    <w:rsid w:val="002F7FC8"/>
    <w:rsid w:val="002F7FD9"/>
    <w:rsid w:val="00301498"/>
    <w:rsid w:val="00301DE4"/>
    <w:rsid w:val="00305111"/>
    <w:rsid w:val="00305364"/>
    <w:rsid w:val="00311283"/>
    <w:rsid w:val="00311428"/>
    <w:rsid w:val="003132EB"/>
    <w:rsid w:val="00321151"/>
    <w:rsid w:val="00322C20"/>
    <w:rsid w:val="0032391A"/>
    <w:rsid w:val="00323AAC"/>
    <w:rsid w:val="00324A64"/>
    <w:rsid w:val="00325B93"/>
    <w:rsid w:val="003266FB"/>
    <w:rsid w:val="00326A17"/>
    <w:rsid w:val="00326D96"/>
    <w:rsid w:val="00334F14"/>
    <w:rsid w:val="00340307"/>
    <w:rsid w:val="0034063A"/>
    <w:rsid w:val="0034244F"/>
    <w:rsid w:val="00342605"/>
    <w:rsid w:val="00345819"/>
    <w:rsid w:val="0034657D"/>
    <w:rsid w:val="00350E47"/>
    <w:rsid w:val="0035407D"/>
    <w:rsid w:val="0035409C"/>
    <w:rsid w:val="003541E1"/>
    <w:rsid w:val="0035685D"/>
    <w:rsid w:val="00361114"/>
    <w:rsid w:val="0036530E"/>
    <w:rsid w:val="00367D1A"/>
    <w:rsid w:val="00377707"/>
    <w:rsid w:val="003805D5"/>
    <w:rsid w:val="003841D9"/>
    <w:rsid w:val="003850EE"/>
    <w:rsid w:val="0038702E"/>
    <w:rsid w:val="00387037"/>
    <w:rsid w:val="00392464"/>
    <w:rsid w:val="0039543A"/>
    <w:rsid w:val="00395C3C"/>
    <w:rsid w:val="00396534"/>
    <w:rsid w:val="00397492"/>
    <w:rsid w:val="003A5BB0"/>
    <w:rsid w:val="003B0831"/>
    <w:rsid w:val="003B1E91"/>
    <w:rsid w:val="003B23F7"/>
    <w:rsid w:val="003B3228"/>
    <w:rsid w:val="003B3ACA"/>
    <w:rsid w:val="003C0965"/>
    <w:rsid w:val="003C5DBF"/>
    <w:rsid w:val="003C66B2"/>
    <w:rsid w:val="003D08C5"/>
    <w:rsid w:val="003D2F0C"/>
    <w:rsid w:val="003D3072"/>
    <w:rsid w:val="003D42AF"/>
    <w:rsid w:val="003D5AD9"/>
    <w:rsid w:val="003D7569"/>
    <w:rsid w:val="003E626B"/>
    <w:rsid w:val="003F4FAD"/>
    <w:rsid w:val="003F5FC0"/>
    <w:rsid w:val="003F7782"/>
    <w:rsid w:val="0040127A"/>
    <w:rsid w:val="00405C27"/>
    <w:rsid w:val="0040749B"/>
    <w:rsid w:val="00417DEE"/>
    <w:rsid w:val="00417E8A"/>
    <w:rsid w:val="004210D2"/>
    <w:rsid w:val="0042242E"/>
    <w:rsid w:val="00423B14"/>
    <w:rsid w:val="00425877"/>
    <w:rsid w:val="0043172E"/>
    <w:rsid w:val="00434D36"/>
    <w:rsid w:val="004353C2"/>
    <w:rsid w:val="004408C8"/>
    <w:rsid w:val="004517E4"/>
    <w:rsid w:val="00457DC8"/>
    <w:rsid w:val="00460964"/>
    <w:rsid w:val="0047296B"/>
    <w:rsid w:val="00472C2E"/>
    <w:rsid w:val="004749B6"/>
    <w:rsid w:val="004769C5"/>
    <w:rsid w:val="00481ACC"/>
    <w:rsid w:val="00487583"/>
    <w:rsid w:val="0049032B"/>
    <w:rsid w:val="0049568A"/>
    <w:rsid w:val="00497893"/>
    <w:rsid w:val="004A01DA"/>
    <w:rsid w:val="004A37EB"/>
    <w:rsid w:val="004A3832"/>
    <w:rsid w:val="004A3922"/>
    <w:rsid w:val="004A5663"/>
    <w:rsid w:val="004B0AD5"/>
    <w:rsid w:val="004B1BAC"/>
    <w:rsid w:val="004B4B2D"/>
    <w:rsid w:val="004B5B78"/>
    <w:rsid w:val="004B610C"/>
    <w:rsid w:val="004C0A40"/>
    <w:rsid w:val="004C2F67"/>
    <w:rsid w:val="004C3118"/>
    <w:rsid w:val="004C6EE5"/>
    <w:rsid w:val="004C6FD1"/>
    <w:rsid w:val="004D229B"/>
    <w:rsid w:val="004D2502"/>
    <w:rsid w:val="004D2A16"/>
    <w:rsid w:val="004D5661"/>
    <w:rsid w:val="004E0A81"/>
    <w:rsid w:val="004E1AA5"/>
    <w:rsid w:val="004E480C"/>
    <w:rsid w:val="004E486A"/>
    <w:rsid w:val="004E5C35"/>
    <w:rsid w:val="004E768D"/>
    <w:rsid w:val="004E7937"/>
    <w:rsid w:val="004F13A9"/>
    <w:rsid w:val="004F2175"/>
    <w:rsid w:val="004F21EF"/>
    <w:rsid w:val="004F3FCE"/>
    <w:rsid w:val="004F46D1"/>
    <w:rsid w:val="004F5CE2"/>
    <w:rsid w:val="004F7347"/>
    <w:rsid w:val="005002C5"/>
    <w:rsid w:val="0050122C"/>
    <w:rsid w:val="00505847"/>
    <w:rsid w:val="00506E75"/>
    <w:rsid w:val="0051141B"/>
    <w:rsid w:val="00515E56"/>
    <w:rsid w:val="005174BB"/>
    <w:rsid w:val="00526EA8"/>
    <w:rsid w:val="00530A84"/>
    <w:rsid w:val="00531110"/>
    <w:rsid w:val="00532317"/>
    <w:rsid w:val="00533A7D"/>
    <w:rsid w:val="00533BFD"/>
    <w:rsid w:val="0054025B"/>
    <w:rsid w:val="00540FFF"/>
    <w:rsid w:val="005438CD"/>
    <w:rsid w:val="00547C9E"/>
    <w:rsid w:val="00554A06"/>
    <w:rsid w:val="00564B9E"/>
    <w:rsid w:val="005701B9"/>
    <w:rsid w:val="00571C6C"/>
    <w:rsid w:val="0057313E"/>
    <w:rsid w:val="00573BE8"/>
    <w:rsid w:val="00573C66"/>
    <w:rsid w:val="00573D39"/>
    <w:rsid w:val="005768AB"/>
    <w:rsid w:val="005768B3"/>
    <w:rsid w:val="00577044"/>
    <w:rsid w:val="00580881"/>
    <w:rsid w:val="00580A66"/>
    <w:rsid w:val="00581F55"/>
    <w:rsid w:val="005872F1"/>
    <w:rsid w:val="00592E3A"/>
    <w:rsid w:val="005935F1"/>
    <w:rsid w:val="005A132E"/>
    <w:rsid w:val="005A2F2D"/>
    <w:rsid w:val="005A773B"/>
    <w:rsid w:val="005B0299"/>
    <w:rsid w:val="005B08AC"/>
    <w:rsid w:val="005B3651"/>
    <w:rsid w:val="005B4835"/>
    <w:rsid w:val="005B7483"/>
    <w:rsid w:val="005C2DCB"/>
    <w:rsid w:val="005C5CC8"/>
    <w:rsid w:val="005D35BC"/>
    <w:rsid w:val="005D4CAA"/>
    <w:rsid w:val="005D6BDD"/>
    <w:rsid w:val="005D79F5"/>
    <w:rsid w:val="005E256B"/>
    <w:rsid w:val="005E5C2E"/>
    <w:rsid w:val="005E7D8E"/>
    <w:rsid w:val="005F3794"/>
    <w:rsid w:val="005F5304"/>
    <w:rsid w:val="006028C5"/>
    <w:rsid w:val="00604369"/>
    <w:rsid w:val="00611A56"/>
    <w:rsid w:val="0061496D"/>
    <w:rsid w:val="00614DB8"/>
    <w:rsid w:val="00621B3D"/>
    <w:rsid w:val="00624EAB"/>
    <w:rsid w:val="00625410"/>
    <w:rsid w:val="00625F2D"/>
    <w:rsid w:val="00626E73"/>
    <w:rsid w:val="00633C60"/>
    <w:rsid w:val="00634ED5"/>
    <w:rsid w:val="00635569"/>
    <w:rsid w:val="006419BD"/>
    <w:rsid w:val="00642098"/>
    <w:rsid w:val="00645D87"/>
    <w:rsid w:val="00651C96"/>
    <w:rsid w:val="00653801"/>
    <w:rsid w:val="006539AF"/>
    <w:rsid w:val="00653B51"/>
    <w:rsid w:val="00661D7B"/>
    <w:rsid w:val="00664353"/>
    <w:rsid w:val="00665C82"/>
    <w:rsid w:val="006662B3"/>
    <w:rsid w:val="00667CCC"/>
    <w:rsid w:val="00673B4D"/>
    <w:rsid w:val="00673F16"/>
    <w:rsid w:val="0067485A"/>
    <w:rsid w:val="00680C36"/>
    <w:rsid w:val="00680C47"/>
    <w:rsid w:val="0068181F"/>
    <w:rsid w:val="00682270"/>
    <w:rsid w:val="00683050"/>
    <w:rsid w:val="00686FC8"/>
    <w:rsid w:val="00697E85"/>
    <w:rsid w:val="006A2A20"/>
    <w:rsid w:val="006A3810"/>
    <w:rsid w:val="006A3DC5"/>
    <w:rsid w:val="006B0CE9"/>
    <w:rsid w:val="006B410D"/>
    <w:rsid w:val="006B4909"/>
    <w:rsid w:val="006D5541"/>
    <w:rsid w:val="006D5ADD"/>
    <w:rsid w:val="006D762E"/>
    <w:rsid w:val="006D78AA"/>
    <w:rsid w:val="006D7DE0"/>
    <w:rsid w:val="006E0428"/>
    <w:rsid w:val="006E174C"/>
    <w:rsid w:val="006E7E3C"/>
    <w:rsid w:val="006F0BC4"/>
    <w:rsid w:val="006F575C"/>
    <w:rsid w:val="00702262"/>
    <w:rsid w:val="00703CD5"/>
    <w:rsid w:val="007068E6"/>
    <w:rsid w:val="007079A6"/>
    <w:rsid w:val="007168E4"/>
    <w:rsid w:val="00716C68"/>
    <w:rsid w:val="007227A6"/>
    <w:rsid w:val="00722D8C"/>
    <w:rsid w:val="00725705"/>
    <w:rsid w:val="007270BB"/>
    <w:rsid w:val="00727813"/>
    <w:rsid w:val="00732B30"/>
    <w:rsid w:val="007337A1"/>
    <w:rsid w:val="007338CC"/>
    <w:rsid w:val="007371A5"/>
    <w:rsid w:val="00737260"/>
    <w:rsid w:val="0073770A"/>
    <w:rsid w:val="007405BA"/>
    <w:rsid w:val="00742124"/>
    <w:rsid w:val="00742ACA"/>
    <w:rsid w:val="00743BCC"/>
    <w:rsid w:val="007452B2"/>
    <w:rsid w:val="00746139"/>
    <w:rsid w:val="00753621"/>
    <w:rsid w:val="00754288"/>
    <w:rsid w:val="00755F79"/>
    <w:rsid w:val="00761970"/>
    <w:rsid w:val="0076557D"/>
    <w:rsid w:val="007655C5"/>
    <w:rsid w:val="00774951"/>
    <w:rsid w:val="007804C1"/>
    <w:rsid w:val="00784891"/>
    <w:rsid w:val="00786211"/>
    <w:rsid w:val="0078643C"/>
    <w:rsid w:val="0078690B"/>
    <w:rsid w:val="00791DE1"/>
    <w:rsid w:val="00791E8A"/>
    <w:rsid w:val="007922C4"/>
    <w:rsid w:val="007A0D78"/>
    <w:rsid w:val="007A1BC5"/>
    <w:rsid w:val="007A34F7"/>
    <w:rsid w:val="007A5E9F"/>
    <w:rsid w:val="007A5EE0"/>
    <w:rsid w:val="007A64CF"/>
    <w:rsid w:val="007B24EB"/>
    <w:rsid w:val="007B3BDE"/>
    <w:rsid w:val="007B58E6"/>
    <w:rsid w:val="007B6DD3"/>
    <w:rsid w:val="007C1FEA"/>
    <w:rsid w:val="007C2E92"/>
    <w:rsid w:val="007D2659"/>
    <w:rsid w:val="007D400A"/>
    <w:rsid w:val="007D5625"/>
    <w:rsid w:val="007D7853"/>
    <w:rsid w:val="007E3E9B"/>
    <w:rsid w:val="007E7BCE"/>
    <w:rsid w:val="007F2C11"/>
    <w:rsid w:val="007F3B84"/>
    <w:rsid w:val="007F5290"/>
    <w:rsid w:val="007F5CB2"/>
    <w:rsid w:val="00800562"/>
    <w:rsid w:val="00802084"/>
    <w:rsid w:val="00810D12"/>
    <w:rsid w:val="00811161"/>
    <w:rsid w:val="008114AC"/>
    <w:rsid w:val="0081429A"/>
    <w:rsid w:val="00816703"/>
    <w:rsid w:val="008176EB"/>
    <w:rsid w:val="00820AF9"/>
    <w:rsid w:val="00821568"/>
    <w:rsid w:val="008222B6"/>
    <w:rsid w:val="0083012A"/>
    <w:rsid w:val="00832027"/>
    <w:rsid w:val="00833BEA"/>
    <w:rsid w:val="00837E62"/>
    <w:rsid w:val="00840A30"/>
    <w:rsid w:val="00840CDA"/>
    <w:rsid w:val="008427EF"/>
    <w:rsid w:val="008447E2"/>
    <w:rsid w:val="0084786A"/>
    <w:rsid w:val="00847C71"/>
    <w:rsid w:val="00847DB9"/>
    <w:rsid w:val="0085146A"/>
    <w:rsid w:val="00854B10"/>
    <w:rsid w:val="00857B6D"/>
    <w:rsid w:val="00860C8A"/>
    <w:rsid w:val="008615DD"/>
    <w:rsid w:val="00863402"/>
    <w:rsid w:val="008641BB"/>
    <w:rsid w:val="00865456"/>
    <w:rsid w:val="008661EB"/>
    <w:rsid w:val="008731CE"/>
    <w:rsid w:val="00876D86"/>
    <w:rsid w:val="008847C9"/>
    <w:rsid w:val="00884F26"/>
    <w:rsid w:val="0088585B"/>
    <w:rsid w:val="00886237"/>
    <w:rsid w:val="00887CBC"/>
    <w:rsid w:val="008911BF"/>
    <w:rsid w:val="00892671"/>
    <w:rsid w:val="00893CF9"/>
    <w:rsid w:val="0089651C"/>
    <w:rsid w:val="008A0805"/>
    <w:rsid w:val="008A1B8A"/>
    <w:rsid w:val="008A2548"/>
    <w:rsid w:val="008A69B0"/>
    <w:rsid w:val="008A6DFF"/>
    <w:rsid w:val="008B09B7"/>
    <w:rsid w:val="008B0AFB"/>
    <w:rsid w:val="008B1CCB"/>
    <w:rsid w:val="008B6E65"/>
    <w:rsid w:val="008C1826"/>
    <w:rsid w:val="008C2057"/>
    <w:rsid w:val="008D0E1A"/>
    <w:rsid w:val="008E1997"/>
    <w:rsid w:val="008F4BCB"/>
    <w:rsid w:val="008F59DD"/>
    <w:rsid w:val="008F64CA"/>
    <w:rsid w:val="009040F9"/>
    <w:rsid w:val="0090430A"/>
    <w:rsid w:val="00912293"/>
    <w:rsid w:val="00912A4A"/>
    <w:rsid w:val="009166ED"/>
    <w:rsid w:val="00920BF5"/>
    <w:rsid w:val="00922B0B"/>
    <w:rsid w:val="00922C10"/>
    <w:rsid w:val="009261E8"/>
    <w:rsid w:val="00927586"/>
    <w:rsid w:val="00930F93"/>
    <w:rsid w:val="0093168A"/>
    <w:rsid w:val="00936EED"/>
    <w:rsid w:val="00941B8D"/>
    <w:rsid w:val="00943659"/>
    <w:rsid w:val="009445C3"/>
    <w:rsid w:val="00945BDA"/>
    <w:rsid w:val="009475B5"/>
    <w:rsid w:val="00950E31"/>
    <w:rsid w:val="009525E0"/>
    <w:rsid w:val="00953EA6"/>
    <w:rsid w:val="00957A6D"/>
    <w:rsid w:val="0096641C"/>
    <w:rsid w:val="00973E19"/>
    <w:rsid w:val="00981AC6"/>
    <w:rsid w:val="0098645C"/>
    <w:rsid w:val="009A2101"/>
    <w:rsid w:val="009A2779"/>
    <w:rsid w:val="009A64FD"/>
    <w:rsid w:val="009A6A0F"/>
    <w:rsid w:val="009B27F4"/>
    <w:rsid w:val="009B53E7"/>
    <w:rsid w:val="009B6EC5"/>
    <w:rsid w:val="009C15B7"/>
    <w:rsid w:val="009C2C6C"/>
    <w:rsid w:val="009D42C7"/>
    <w:rsid w:val="009D77FC"/>
    <w:rsid w:val="009E7DDF"/>
    <w:rsid w:val="009F4179"/>
    <w:rsid w:val="009F4FE7"/>
    <w:rsid w:val="009F5919"/>
    <w:rsid w:val="009F603B"/>
    <w:rsid w:val="009F7E08"/>
    <w:rsid w:val="00A0310C"/>
    <w:rsid w:val="00A059EE"/>
    <w:rsid w:val="00A12B8D"/>
    <w:rsid w:val="00A14742"/>
    <w:rsid w:val="00A26494"/>
    <w:rsid w:val="00A30292"/>
    <w:rsid w:val="00A411E9"/>
    <w:rsid w:val="00A418EF"/>
    <w:rsid w:val="00A44F0E"/>
    <w:rsid w:val="00A4509D"/>
    <w:rsid w:val="00A452DD"/>
    <w:rsid w:val="00A50323"/>
    <w:rsid w:val="00A50B71"/>
    <w:rsid w:val="00A52BCA"/>
    <w:rsid w:val="00A5528C"/>
    <w:rsid w:val="00A55A20"/>
    <w:rsid w:val="00A57992"/>
    <w:rsid w:val="00A6096A"/>
    <w:rsid w:val="00A61395"/>
    <w:rsid w:val="00A63F07"/>
    <w:rsid w:val="00A64DC6"/>
    <w:rsid w:val="00A66322"/>
    <w:rsid w:val="00A80E44"/>
    <w:rsid w:val="00A91444"/>
    <w:rsid w:val="00A91C46"/>
    <w:rsid w:val="00A92835"/>
    <w:rsid w:val="00A94D98"/>
    <w:rsid w:val="00A95852"/>
    <w:rsid w:val="00AA1D70"/>
    <w:rsid w:val="00AA2AC5"/>
    <w:rsid w:val="00AA3544"/>
    <w:rsid w:val="00AB0503"/>
    <w:rsid w:val="00AB19E6"/>
    <w:rsid w:val="00AB471B"/>
    <w:rsid w:val="00AB6A74"/>
    <w:rsid w:val="00AB6AFE"/>
    <w:rsid w:val="00AB6D24"/>
    <w:rsid w:val="00AC5050"/>
    <w:rsid w:val="00AC7BE4"/>
    <w:rsid w:val="00AD1920"/>
    <w:rsid w:val="00AD25FD"/>
    <w:rsid w:val="00AD2DB3"/>
    <w:rsid w:val="00AD5B88"/>
    <w:rsid w:val="00AD6C4D"/>
    <w:rsid w:val="00AE07B6"/>
    <w:rsid w:val="00AE3B1E"/>
    <w:rsid w:val="00AF1A4E"/>
    <w:rsid w:val="00AF6B61"/>
    <w:rsid w:val="00B00799"/>
    <w:rsid w:val="00B02369"/>
    <w:rsid w:val="00B073DB"/>
    <w:rsid w:val="00B074A1"/>
    <w:rsid w:val="00B075D0"/>
    <w:rsid w:val="00B13184"/>
    <w:rsid w:val="00B166A6"/>
    <w:rsid w:val="00B22C68"/>
    <w:rsid w:val="00B22E83"/>
    <w:rsid w:val="00B24BE8"/>
    <w:rsid w:val="00B32BAD"/>
    <w:rsid w:val="00B3522B"/>
    <w:rsid w:val="00B407F9"/>
    <w:rsid w:val="00B432B2"/>
    <w:rsid w:val="00B45AAD"/>
    <w:rsid w:val="00B47696"/>
    <w:rsid w:val="00B50F67"/>
    <w:rsid w:val="00B54FEF"/>
    <w:rsid w:val="00B5507B"/>
    <w:rsid w:val="00B56D1E"/>
    <w:rsid w:val="00B60463"/>
    <w:rsid w:val="00B60ED5"/>
    <w:rsid w:val="00B650D0"/>
    <w:rsid w:val="00B66211"/>
    <w:rsid w:val="00B67B9E"/>
    <w:rsid w:val="00B7086C"/>
    <w:rsid w:val="00B71052"/>
    <w:rsid w:val="00B7203C"/>
    <w:rsid w:val="00B806E7"/>
    <w:rsid w:val="00B853C4"/>
    <w:rsid w:val="00B864CC"/>
    <w:rsid w:val="00B870F3"/>
    <w:rsid w:val="00B95F0E"/>
    <w:rsid w:val="00B9732E"/>
    <w:rsid w:val="00BA523D"/>
    <w:rsid w:val="00BA7807"/>
    <w:rsid w:val="00BA7AF5"/>
    <w:rsid w:val="00BA7FE8"/>
    <w:rsid w:val="00BB17C1"/>
    <w:rsid w:val="00BB1CFC"/>
    <w:rsid w:val="00BB52D1"/>
    <w:rsid w:val="00BB536F"/>
    <w:rsid w:val="00BB5CA5"/>
    <w:rsid w:val="00BB693C"/>
    <w:rsid w:val="00BB6BE1"/>
    <w:rsid w:val="00BB75A8"/>
    <w:rsid w:val="00BB7E76"/>
    <w:rsid w:val="00BC0930"/>
    <w:rsid w:val="00BC63AD"/>
    <w:rsid w:val="00BD7945"/>
    <w:rsid w:val="00BE26FB"/>
    <w:rsid w:val="00BE67AD"/>
    <w:rsid w:val="00BF181B"/>
    <w:rsid w:val="00BF1A90"/>
    <w:rsid w:val="00BF39B0"/>
    <w:rsid w:val="00BF49BB"/>
    <w:rsid w:val="00BF4F6F"/>
    <w:rsid w:val="00BF58DE"/>
    <w:rsid w:val="00BF5B37"/>
    <w:rsid w:val="00BF5DD0"/>
    <w:rsid w:val="00C01D18"/>
    <w:rsid w:val="00C0245D"/>
    <w:rsid w:val="00C04FA9"/>
    <w:rsid w:val="00C053CD"/>
    <w:rsid w:val="00C06058"/>
    <w:rsid w:val="00C136D3"/>
    <w:rsid w:val="00C17BB1"/>
    <w:rsid w:val="00C21817"/>
    <w:rsid w:val="00C2776D"/>
    <w:rsid w:val="00C27CA0"/>
    <w:rsid w:val="00C3095C"/>
    <w:rsid w:val="00C47C69"/>
    <w:rsid w:val="00C540B9"/>
    <w:rsid w:val="00C54158"/>
    <w:rsid w:val="00C56701"/>
    <w:rsid w:val="00C63B76"/>
    <w:rsid w:val="00C65257"/>
    <w:rsid w:val="00C73302"/>
    <w:rsid w:val="00C744DD"/>
    <w:rsid w:val="00C7543A"/>
    <w:rsid w:val="00C77FE4"/>
    <w:rsid w:val="00C805B5"/>
    <w:rsid w:val="00C80884"/>
    <w:rsid w:val="00C83171"/>
    <w:rsid w:val="00C851BD"/>
    <w:rsid w:val="00C858E4"/>
    <w:rsid w:val="00C85AA5"/>
    <w:rsid w:val="00C8621C"/>
    <w:rsid w:val="00C9061B"/>
    <w:rsid w:val="00C960A1"/>
    <w:rsid w:val="00C972B5"/>
    <w:rsid w:val="00CA062B"/>
    <w:rsid w:val="00CA0F62"/>
    <w:rsid w:val="00CA0F6F"/>
    <w:rsid w:val="00CA4622"/>
    <w:rsid w:val="00CA5D56"/>
    <w:rsid w:val="00CA785B"/>
    <w:rsid w:val="00CB57C8"/>
    <w:rsid w:val="00CC2483"/>
    <w:rsid w:val="00CC2EB5"/>
    <w:rsid w:val="00CC7C04"/>
    <w:rsid w:val="00CE10EA"/>
    <w:rsid w:val="00CE18C1"/>
    <w:rsid w:val="00CE2B4E"/>
    <w:rsid w:val="00CE3579"/>
    <w:rsid w:val="00CE5FF2"/>
    <w:rsid w:val="00CE64C7"/>
    <w:rsid w:val="00CF37F2"/>
    <w:rsid w:val="00CF3960"/>
    <w:rsid w:val="00CF66E2"/>
    <w:rsid w:val="00CF7653"/>
    <w:rsid w:val="00CF7ADF"/>
    <w:rsid w:val="00D02B93"/>
    <w:rsid w:val="00D0383E"/>
    <w:rsid w:val="00D04607"/>
    <w:rsid w:val="00D068BC"/>
    <w:rsid w:val="00D1204D"/>
    <w:rsid w:val="00D12851"/>
    <w:rsid w:val="00D14847"/>
    <w:rsid w:val="00D16412"/>
    <w:rsid w:val="00D2298C"/>
    <w:rsid w:val="00D22CBF"/>
    <w:rsid w:val="00D2567F"/>
    <w:rsid w:val="00D27956"/>
    <w:rsid w:val="00D31DDD"/>
    <w:rsid w:val="00D32426"/>
    <w:rsid w:val="00D36DEA"/>
    <w:rsid w:val="00D37563"/>
    <w:rsid w:val="00D449A7"/>
    <w:rsid w:val="00D44BC7"/>
    <w:rsid w:val="00D45F98"/>
    <w:rsid w:val="00D479AC"/>
    <w:rsid w:val="00D51BA1"/>
    <w:rsid w:val="00D63AA3"/>
    <w:rsid w:val="00D63F8E"/>
    <w:rsid w:val="00D6678A"/>
    <w:rsid w:val="00D675D5"/>
    <w:rsid w:val="00D72730"/>
    <w:rsid w:val="00D733E6"/>
    <w:rsid w:val="00D74D0B"/>
    <w:rsid w:val="00D75426"/>
    <w:rsid w:val="00D81A28"/>
    <w:rsid w:val="00D83501"/>
    <w:rsid w:val="00D8409F"/>
    <w:rsid w:val="00D92F14"/>
    <w:rsid w:val="00D9717A"/>
    <w:rsid w:val="00DA0ACD"/>
    <w:rsid w:val="00DA4936"/>
    <w:rsid w:val="00DA4FE8"/>
    <w:rsid w:val="00DA50A6"/>
    <w:rsid w:val="00DB08C7"/>
    <w:rsid w:val="00DB1BBC"/>
    <w:rsid w:val="00DB2E8F"/>
    <w:rsid w:val="00DB35A2"/>
    <w:rsid w:val="00DB4C7A"/>
    <w:rsid w:val="00DB524D"/>
    <w:rsid w:val="00DB59DD"/>
    <w:rsid w:val="00DB5E83"/>
    <w:rsid w:val="00DC074F"/>
    <w:rsid w:val="00DC5055"/>
    <w:rsid w:val="00DC6102"/>
    <w:rsid w:val="00DD23C5"/>
    <w:rsid w:val="00DE1123"/>
    <w:rsid w:val="00DE247F"/>
    <w:rsid w:val="00DE3347"/>
    <w:rsid w:val="00DE6623"/>
    <w:rsid w:val="00DE75FC"/>
    <w:rsid w:val="00DF5897"/>
    <w:rsid w:val="00DF79F2"/>
    <w:rsid w:val="00DF7A1E"/>
    <w:rsid w:val="00E07DAD"/>
    <w:rsid w:val="00E110AB"/>
    <w:rsid w:val="00E1225E"/>
    <w:rsid w:val="00E1303F"/>
    <w:rsid w:val="00E132A5"/>
    <w:rsid w:val="00E16551"/>
    <w:rsid w:val="00E225E7"/>
    <w:rsid w:val="00E23DE1"/>
    <w:rsid w:val="00E2547F"/>
    <w:rsid w:val="00E35F56"/>
    <w:rsid w:val="00E47742"/>
    <w:rsid w:val="00E556B9"/>
    <w:rsid w:val="00E564A2"/>
    <w:rsid w:val="00E62841"/>
    <w:rsid w:val="00E66DBE"/>
    <w:rsid w:val="00E70007"/>
    <w:rsid w:val="00E70DC1"/>
    <w:rsid w:val="00E71E89"/>
    <w:rsid w:val="00E723F9"/>
    <w:rsid w:val="00E85CD8"/>
    <w:rsid w:val="00E86A69"/>
    <w:rsid w:val="00E87564"/>
    <w:rsid w:val="00E919FF"/>
    <w:rsid w:val="00E92666"/>
    <w:rsid w:val="00E94A97"/>
    <w:rsid w:val="00E95979"/>
    <w:rsid w:val="00E95BF9"/>
    <w:rsid w:val="00EA1850"/>
    <w:rsid w:val="00EA287E"/>
    <w:rsid w:val="00EA5D77"/>
    <w:rsid w:val="00EB3A9D"/>
    <w:rsid w:val="00EC08AC"/>
    <w:rsid w:val="00EC1739"/>
    <w:rsid w:val="00EC3640"/>
    <w:rsid w:val="00EC4255"/>
    <w:rsid w:val="00ED164F"/>
    <w:rsid w:val="00ED305D"/>
    <w:rsid w:val="00ED568F"/>
    <w:rsid w:val="00ED644E"/>
    <w:rsid w:val="00EE67C0"/>
    <w:rsid w:val="00EE7988"/>
    <w:rsid w:val="00EF07B2"/>
    <w:rsid w:val="00EF336C"/>
    <w:rsid w:val="00EF4DAB"/>
    <w:rsid w:val="00EF5658"/>
    <w:rsid w:val="00F1074C"/>
    <w:rsid w:val="00F1158E"/>
    <w:rsid w:val="00F14304"/>
    <w:rsid w:val="00F1507F"/>
    <w:rsid w:val="00F21DC5"/>
    <w:rsid w:val="00F2676C"/>
    <w:rsid w:val="00F27347"/>
    <w:rsid w:val="00F359CB"/>
    <w:rsid w:val="00F403D5"/>
    <w:rsid w:val="00F46DF4"/>
    <w:rsid w:val="00F47A5B"/>
    <w:rsid w:val="00F55EA8"/>
    <w:rsid w:val="00F62E54"/>
    <w:rsid w:val="00F659AA"/>
    <w:rsid w:val="00F65F19"/>
    <w:rsid w:val="00F667F6"/>
    <w:rsid w:val="00F67ABB"/>
    <w:rsid w:val="00F711F4"/>
    <w:rsid w:val="00F72D00"/>
    <w:rsid w:val="00F733A4"/>
    <w:rsid w:val="00F826D7"/>
    <w:rsid w:val="00F842E3"/>
    <w:rsid w:val="00F87123"/>
    <w:rsid w:val="00F9469D"/>
    <w:rsid w:val="00FA729D"/>
    <w:rsid w:val="00FB1C8F"/>
    <w:rsid w:val="00FB2567"/>
    <w:rsid w:val="00FB3547"/>
    <w:rsid w:val="00FC0661"/>
    <w:rsid w:val="00FC2105"/>
    <w:rsid w:val="00FC3875"/>
    <w:rsid w:val="00FC5B27"/>
    <w:rsid w:val="00FD382D"/>
    <w:rsid w:val="00FD3A5E"/>
    <w:rsid w:val="00FE077E"/>
    <w:rsid w:val="00FE07DF"/>
    <w:rsid w:val="00FE5C69"/>
    <w:rsid w:val="00FF110B"/>
    <w:rsid w:val="00FF20EC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2103"/>
  <w15:chartTrackingRefBased/>
  <w15:docId w15:val="{AC6BA9B2-B4FE-4BF9-8DDA-C705C71D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BA0"/>
    <w:pPr>
      <w:spacing w:after="0" w:line="240" w:lineRule="auto"/>
    </w:pPr>
    <w:rPr>
      <w:rFonts w:ascii="Aptos" w:hAnsi="Aptos" w:cs="Aptos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F1B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1B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F1BA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1BA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1BA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1BA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1BA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1BA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1BA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1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F1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F1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F1B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F1B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F1B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F1B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F1B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F1B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F1B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F1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1BA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F1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F1BA0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F1B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F1BA0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F1B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1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1B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F1BA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377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770A"/>
    <w:rPr>
      <w:rFonts w:ascii="Aptos" w:hAnsi="Aptos" w:cs="Aptos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377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770A"/>
    <w:rPr>
      <w:rFonts w:ascii="Aptos" w:hAnsi="Aptos" w:cs="Aptos"/>
      <w:kern w:val="0"/>
      <w:lang w:eastAsia="fr-FR"/>
      <w14:ligatures w14:val="none"/>
    </w:rPr>
  </w:style>
  <w:style w:type="paragraph" w:styleId="NormalWeb">
    <w:name w:val="Normal (Web)"/>
    <w:basedOn w:val="Normal"/>
    <w:uiPriority w:val="99"/>
    <w:unhideWhenUsed/>
    <w:rsid w:val="000E7E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0E7EF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0E7EF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261E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4</Pages>
  <Words>1328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cazes</dc:creator>
  <cp:keywords/>
  <dc:description/>
  <cp:lastModifiedBy>jerome cazes</cp:lastModifiedBy>
  <cp:revision>530</cp:revision>
  <dcterms:created xsi:type="dcterms:W3CDTF">2024-03-23T15:27:00Z</dcterms:created>
  <dcterms:modified xsi:type="dcterms:W3CDTF">2024-03-26T08:02:00Z</dcterms:modified>
</cp:coreProperties>
</file>