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762A1" w14:textId="77777777" w:rsidR="0047742F" w:rsidRDefault="0047742F" w:rsidP="0047742F">
      <w:pPr>
        <w:pStyle w:val="Sansinterligne"/>
        <w:rPr>
          <w:b/>
          <w:bCs/>
          <w:sz w:val="36"/>
          <w:szCs w:val="36"/>
          <w:bdr w:val="none" w:sz="0" w:space="0" w:color="auto" w:frame="1"/>
          <w:lang w:eastAsia="fr-FR"/>
        </w:rPr>
      </w:pPr>
      <w:r w:rsidRPr="0047742F">
        <w:rPr>
          <w:b/>
          <w:bCs/>
          <w:sz w:val="36"/>
          <w:szCs w:val="36"/>
          <w:bdr w:val="none" w:sz="0" w:space="0" w:color="auto" w:frame="1"/>
          <w:lang w:eastAsia="fr-FR"/>
        </w:rPr>
        <w:t>Tutorial</w:t>
      </w:r>
    </w:p>
    <w:p w14:paraId="4D75AF3C" w14:textId="77777777" w:rsidR="0047742F" w:rsidRPr="0047742F" w:rsidRDefault="0047742F" w:rsidP="0047742F">
      <w:pPr>
        <w:pStyle w:val="Sansinterligne"/>
        <w:rPr>
          <w:b/>
          <w:bCs/>
          <w:sz w:val="36"/>
          <w:szCs w:val="36"/>
          <w:lang w:eastAsia="fr-FR"/>
        </w:rPr>
      </w:pPr>
    </w:p>
    <w:p w14:paraId="6F7C0030" w14:textId="77777777" w:rsidR="0075132D" w:rsidRPr="0047742F" w:rsidRDefault="0075132D" w:rsidP="0047742F">
      <w:pPr>
        <w:pStyle w:val="Sansinterligne"/>
      </w:pPr>
    </w:p>
    <w:p w14:paraId="791EE4D4" w14:textId="77777777" w:rsidR="0047742F" w:rsidRPr="0047742F" w:rsidRDefault="0047742F" w:rsidP="0047742F">
      <w:pPr>
        <w:pStyle w:val="Sansinterligne"/>
        <w:rPr>
          <w:kern w:val="0"/>
          <w:lang w:val="en-US" w:eastAsia="fr-FR"/>
        </w:rPr>
      </w:pPr>
      <w:r w:rsidRPr="0047742F">
        <w:rPr>
          <w:kern w:val="0"/>
          <w:lang w:val="en-US" w:eastAsia="fr-FR"/>
        </w:rPr>
        <w:t>This tutorial is part of a set of tools for measuring a company’s environmental accounting performance. </w:t>
      </w:r>
      <w:hyperlink r:id="rId4" w:history="1">
        <w:r w:rsidRPr="0047742F">
          <w:rPr>
            <w:color w:val="F0CF34"/>
            <w:kern w:val="0"/>
            <w:u w:val="single"/>
            <w:bdr w:val="none" w:sz="0" w:space="0" w:color="auto" w:frame="1"/>
            <w:lang w:val="en-US" w:eastAsia="fr-FR"/>
          </w:rPr>
          <w:t>The general presentation of the method</w:t>
        </w:r>
      </w:hyperlink>
      <w:r w:rsidRPr="0047742F">
        <w:rPr>
          <w:kern w:val="0"/>
          <w:lang w:val="en-US" w:eastAsia="fr-FR"/>
        </w:rPr>
        <w:t> (environmental accounting measure) and </w:t>
      </w:r>
      <w:hyperlink r:id="rId5" w:history="1">
        <w:r w:rsidRPr="0047742F">
          <w:rPr>
            <w:color w:val="F0CF34"/>
            <w:kern w:val="0"/>
            <w:u w:val="single"/>
            <w:bdr w:val="none" w:sz="0" w:space="0" w:color="auto" w:frame="1"/>
            <w:lang w:val="en-US" w:eastAsia="fr-FR"/>
          </w:rPr>
          <w:t>the calculator</w:t>
        </w:r>
      </w:hyperlink>
      <w:r w:rsidRPr="0047742F">
        <w:rPr>
          <w:kern w:val="0"/>
          <w:lang w:val="en-US" w:eastAsia="fr-FR"/>
        </w:rPr>
        <w:t> associated with the tutorial are the other two tools. The tutorial text is shown below the download button.</w:t>
      </w:r>
    </w:p>
    <w:p w14:paraId="313D971F" w14:textId="77777777" w:rsidR="0047742F" w:rsidRPr="0047742F" w:rsidRDefault="0047742F" w:rsidP="0047742F">
      <w:pPr>
        <w:pStyle w:val="Sansinterligne"/>
        <w:rPr>
          <w:kern w:val="0"/>
          <w:lang w:val="en-US" w:eastAsia="fr-FR"/>
        </w:rPr>
      </w:pPr>
      <w:r w:rsidRPr="0047742F">
        <w:rPr>
          <w:kern w:val="0"/>
          <w:lang w:val="en-US" w:eastAsia="fr-FR"/>
        </w:rPr>
        <w:t>Group exchanges are planned (registration required), and </w:t>
      </w:r>
      <w:hyperlink r:id="rId6" w:history="1">
        <w:r w:rsidRPr="0047742F">
          <w:rPr>
            <w:color w:val="F0CF34"/>
            <w:kern w:val="0"/>
            <w:u w:val="single"/>
            <w:bdr w:val="none" w:sz="0" w:space="0" w:color="auto" w:frame="1"/>
            <w:lang w:val="en-US" w:eastAsia="fr-FR"/>
          </w:rPr>
          <w:t>customized volunteer support</w:t>
        </w:r>
      </w:hyperlink>
      <w:r w:rsidRPr="0047742F">
        <w:rPr>
          <w:kern w:val="0"/>
          <w:lang w:val="en-US" w:eastAsia="fr-FR"/>
        </w:rPr>
        <w:t> is available for integration into existing training courses.</w:t>
      </w:r>
    </w:p>
    <w:p w14:paraId="267CB26B" w14:textId="77777777" w:rsidR="0047742F" w:rsidRDefault="0047742F" w:rsidP="0047742F">
      <w:pPr>
        <w:pStyle w:val="Sansinterligne"/>
        <w:rPr>
          <w:kern w:val="0"/>
          <w:bdr w:val="none" w:sz="0" w:space="0" w:color="auto" w:frame="1"/>
          <w:lang w:val="en-US" w:eastAsia="fr-FR"/>
        </w:rPr>
      </w:pPr>
    </w:p>
    <w:p w14:paraId="672A9DE8" w14:textId="77777777" w:rsidR="0047742F" w:rsidRDefault="0047742F" w:rsidP="0047742F">
      <w:pPr>
        <w:pStyle w:val="Sansinterligne"/>
        <w:rPr>
          <w:kern w:val="0"/>
          <w:lang w:val="en-US" w:eastAsia="fr-FR"/>
        </w:rPr>
      </w:pPr>
      <w:r w:rsidRPr="0047742F">
        <w:rPr>
          <w:kern w:val="0"/>
          <w:lang w:val="en-US" w:eastAsia="fr-FR"/>
        </w:rPr>
        <w:t>This tutorial describes how a company’s accountant obtains his company’s environmental performance. It is complemented by </w:t>
      </w:r>
      <w:hyperlink r:id="rId7" w:history="1">
        <w:r w:rsidRPr="0047742F">
          <w:rPr>
            <w:color w:val="F0CF34"/>
            <w:kern w:val="0"/>
            <w:u w:val="single"/>
            <w:bdr w:val="none" w:sz="0" w:space="0" w:color="auto" w:frame="1"/>
            <w:lang w:val="en-US" w:eastAsia="fr-FR"/>
          </w:rPr>
          <w:t>a calculator</w:t>
        </w:r>
      </w:hyperlink>
      <w:r w:rsidRPr="0047742F">
        <w:rPr>
          <w:kern w:val="0"/>
          <w:lang w:val="en-US" w:eastAsia="fr-FR"/>
        </w:rPr>
        <w:t> that automatically performs the indicated calculations, and by </w:t>
      </w:r>
      <w:hyperlink r:id="rId8" w:history="1">
        <w:r w:rsidRPr="0047742F">
          <w:rPr>
            <w:color w:val="F0CF34"/>
            <w:kern w:val="0"/>
            <w:u w:val="single"/>
            <w:bdr w:val="none" w:sz="0" w:space="0" w:color="auto" w:frame="1"/>
            <w:lang w:val="en-US" w:eastAsia="fr-FR"/>
          </w:rPr>
          <w:t>a general presentation</w:t>
        </w:r>
      </w:hyperlink>
      <w:r w:rsidRPr="0047742F">
        <w:rPr>
          <w:kern w:val="0"/>
          <w:lang w:val="en-US" w:eastAsia="fr-FR"/>
        </w:rPr>
        <w:t>.</w:t>
      </w:r>
    </w:p>
    <w:p w14:paraId="1E8AEEBA" w14:textId="77777777" w:rsidR="0047742F" w:rsidRPr="0047742F" w:rsidRDefault="0047742F" w:rsidP="0047742F">
      <w:pPr>
        <w:pStyle w:val="Sansinterligne"/>
        <w:rPr>
          <w:kern w:val="0"/>
          <w:lang w:val="en-US" w:eastAsia="fr-FR"/>
        </w:rPr>
      </w:pPr>
    </w:p>
    <w:p w14:paraId="1B13769D" w14:textId="77777777" w:rsidR="0047742F" w:rsidRDefault="0047742F" w:rsidP="0047742F">
      <w:pPr>
        <w:pStyle w:val="Sansinterligne"/>
        <w:rPr>
          <w:b/>
          <w:bCs/>
          <w:kern w:val="0"/>
          <w:sz w:val="36"/>
          <w:szCs w:val="36"/>
          <w:bdr w:val="none" w:sz="0" w:space="0" w:color="auto" w:frame="1"/>
          <w:lang w:val="en-US" w:eastAsia="fr-FR"/>
        </w:rPr>
      </w:pPr>
    </w:p>
    <w:p w14:paraId="68F8AF49" w14:textId="380E63B2" w:rsidR="0047742F" w:rsidRPr="0047742F" w:rsidRDefault="0047742F" w:rsidP="0047742F">
      <w:pPr>
        <w:pStyle w:val="Sansinterligne"/>
        <w:rPr>
          <w:b/>
          <w:bCs/>
          <w:kern w:val="0"/>
          <w:sz w:val="36"/>
          <w:szCs w:val="36"/>
          <w:bdr w:val="none" w:sz="0" w:space="0" w:color="auto" w:frame="1"/>
          <w:lang w:val="en-US" w:eastAsia="fr-FR"/>
        </w:rPr>
      </w:pPr>
      <w:r w:rsidRPr="0047742F">
        <w:rPr>
          <w:b/>
          <w:bCs/>
          <w:kern w:val="0"/>
          <w:sz w:val="36"/>
          <w:szCs w:val="36"/>
          <w:bdr w:val="none" w:sz="0" w:space="0" w:color="auto" w:frame="1"/>
          <w:lang w:val="en-US" w:eastAsia="fr-FR"/>
        </w:rPr>
        <w:t>Tracking environmental performance</w:t>
      </w:r>
    </w:p>
    <w:p w14:paraId="1E6E7744" w14:textId="77777777" w:rsidR="0047742F" w:rsidRPr="0047742F" w:rsidRDefault="0047742F" w:rsidP="0047742F">
      <w:pPr>
        <w:pStyle w:val="Sansinterligne"/>
        <w:rPr>
          <w:kern w:val="0"/>
          <w:lang w:val="en-US" w:eastAsia="fr-FR"/>
        </w:rPr>
      </w:pPr>
    </w:p>
    <w:p w14:paraId="276973D7" w14:textId="77777777" w:rsidR="0047742F" w:rsidRPr="0047742F" w:rsidRDefault="0047742F" w:rsidP="0047742F">
      <w:pPr>
        <w:pStyle w:val="Sansinterligne"/>
        <w:rPr>
          <w:kern w:val="0"/>
          <w:lang w:val="en-US" w:eastAsia="fr-FR"/>
        </w:rPr>
      </w:pPr>
      <w:r w:rsidRPr="0047742F">
        <w:rPr>
          <w:kern w:val="0"/>
          <w:lang w:val="en-US" w:eastAsia="fr-FR"/>
        </w:rPr>
        <w:t>Environmental performance is tracked in terms of </w:t>
      </w:r>
      <w:r w:rsidRPr="0047742F">
        <w:rPr>
          <w:kern w:val="0"/>
          <w:bdr w:val="none" w:sz="0" w:space="0" w:color="auto" w:frame="1"/>
          <w:lang w:val="en-US" w:eastAsia="fr-FR"/>
        </w:rPr>
        <w:t>the carbon weight of products sold</w:t>
      </w:r>
      <w:r w:rsidRPr="0047742F">
        <w:rPr>
          <w:kern w:val="0"/>
          <w:lang w:val="en-US" w:eastAsia="fr-FR"/>
        </w:rPr>
        <w:t> and </w:t>
      </w:r>
      <w:r w:rsidRPr="0047742F">
        <w:rPr>
          <w:kern w:val="0"/>
          <w:bdr w:val="none" w:sz="0" w:space="0" w:color="auto" w:frame="1"/>
          <w:lang w:val="en-US" w:eastAsia="fr-FR"/>
        </w:rPr>
        <w:t xml:space="preserve">the company’s contribution to </w:t>
      </w:r>
      <w:proofErr w:type="spellStart"/>
      <w:r w:rsidRPr="0047742F">
        <w:rPr>
          <w:kern w:val="0"/>
          <w:bdr w:val="none" w:sz="0" w:space="0" w:color="auto" w:frame="1"/>
          <w:lang w:val="en-US" w:eastAsia="fr-FR"/>
        </w:rPr>
        <w:t>decarbonisation</w:t>
      </w:r>
      <w:proofErr w:type="spellEnd"/>
      <w:r w:rsidRPr="0047742F">
        <w:rPr>
          <w:kern w:val="0"/>
          <w:lang w:val="en-US" w:eastAsia="fr-FR"/>
        </w:rPr>
        <w:t>, as well as its carbon footprint.</w:t>
      </w:r>
    </w:p>
    <w:p w14:paraId="138DBD4D" w14:textId="77777777" w:rsidR="0047742F" w:rsidRPr="0047742F" w:rsidRDefault="0047742F" w:rsidP="0047742F">
      <w:pPr>
        <w:pStyle w:val="Sansinterligne"/>
        <w:rPr>
          <w:kern w:val="0"/>
          <w:lang w:val="en-US" w:eastAsia="fr-FR"/>
        </w:rPr>
      </w:pPr>
      <w:r w:rsidRPr="0047742F">
        <w:rPr>
          <w:kern w:val="0"/>
          <w:bdr w:val="none" w:sz="0" w:space="0" w:color="auto" w:frame="1"/>
          <w:lang w:val="en-US" w:eastAsia="fr-FR"/>
        </w:rPr>
        <w:t>The carbon weight of a product</w:t>
      </w:r>
      <w:r w:rsidRPr="0047742F">
        <w:rPr>
          <w:kern w:val="0"/>
          <w:lang w:val="en-US" w:eastAsia="fr-FR"/>
        </w:rPr>
        <w:t> (or waste recovery service) adds up the greenhouse gases emitted throughout the production chain, right up to the moment the product is received by the customer. The unit of measurement is the weight defined by the IPCC for greenhouse gases, in kilos of CO</w:t>
      </w:r>
      <w:r w:rsidRPr="0047742F">
        <w:rPr>
          <w:kern w:val="0"/>
          <w:bdr w:val="none" w:sz="0" w:space="0" w:color="auto" w:frame="1"/>
          <w:vertAlign w:val="subscript"/>
          <w:lang w:val="en-US" w:eastAsia="fr-FR"/>
        </w:rPr>
        <w:t>2</w:t>
      </w:r>
      <w:r w:rsidRPr="0047742F">
        <w:rPr>
          <w:kern w:val="0"/>
          <w:lang w:val="en-US" w:eastAsia="fr-FR"/>
        </w:rPr>
        <w:t> equivalent.</w:t>
      </w:r>
    </w:p>
    <w:p w14:paraId="3FA3DD4F" w14:textId="77777777" w:rsidR="0047742F" w:rsidRPr="0047742F" w:rsidRDefault="0047742F" w:rsidP="0047742F">
      <w:pPr>
        <w:pStyle w:val="Sansinterligne"/>
        <w:rPr>
          <w:kern w:val="0"/>
          <w:lang w:val="en-US" w:eastAsia="fr-FR"/>
        </w:rPr>
      </w:pPr>
      <w:r w:rsidRPr="0047742F">
        <w:rPr>
          <w:kern w:val="0"/>
          <w:bdr w:val="none" w:sz="0" w:space="0" w:color="auto" w:frame="1"/>
          <w:lang w:val="en-US" w:eastAsia="fr-FR"/>
        </w:rPr>
        <w:t xml:space="preserve">The company’s Contribution to </w:t>
      </w:r>
      <w:proofErr w:type="spellStart"/>
      <w:r w:rsidRPr="0047742F">
        <w:rPr>
          <w:kern w:val="0"/>
          <w:bdr w:val="none" w:sz="0" w:space="0" w:color="auto" w:frame="1"/>
          <w:lang w:val="en-US" w:eastAsia="fr-FR"/>
        </w:rPr>
        <w:t>decarbonisation</w:t>
      </w:r>
      <w:proofErr w:type="spellEnd"/>
      <w:r w:rsidRPr="0047742F">
        <w:rPr>
          <w:kern w:val="0"/>
          <w:lang w:val="en-US" w:eastAsia="fr-FR"/>
        </w:rPr>
        <w:t xml:space="preserve"> indicates the contribution of its production from one year to the next to national </w:t>
      </w:r>
      <w:proofErr w:type="spellStart"/>
      <w:r w:rsidRPr="0047742F">
        <w:rPr>
          <w:kern w:val="0"/>
          <w:lang w:val="en-US" w:eastAsia="fr-FR"/>
        </w:rPr>
        <w:t>decarbonisation</w:t>
      </w:r>
      <w:proofErr w:type="spellEnd"/>
      <w:r w:rsidRPr="0047742F">
        <w:rPr>
          <w:kern w:val="0"/>
          <w:lang w:val="en-US" w:eastAsia="fr-FR"/>
        </w:rPr>
        <w:t xml:space="preserve"> (which measures how much the total flow of carbon into the atmosphere has been reduced over the period). The unit is the same (GHG weight). As this is an evolution, it is recommended to make the calculation for 2021 and 2022 </w:t>
      </w:r>
      <w:proofErr w:type="gramStart"/>
      <w:r w:rsidRPr="0047742F">
        <w:rPr>
          <w:kern w:val="0"/>
          <w:lang w:val="en-US" w:eastAsia="fr-FR"/>
        </w:rPr>
        <w:t>in order to</w:t>
      </w:r>
      <w:proofErr w:type="gramEnd"/>
      <w:r w:rsidRPr="0047742F">
        <w:rPr>
          <w:kern w:val="0"/>
          <w:lang w:val="en-US" w:eastAsia="fr-FR"/>
        </w:rPr>
        <w:t xml:space="preserve"> have the 2022 Decarbonation contribution. (By convention, a positive contribution is good for the environment).</w:t>
      </w:r>
    </w:p>
    <w:p w14:paraId="0C6DEB3B" w14:textId="77777777" w:rsidR="0047742F" w:rsidRPr="0047742F" w:rsidRDefault="0047742F" w:rsidP="0047742F">
      <w:pPr>
        <w:pStyle w:val="Sansinterligne"/>
        <w:rPr>
          <w:kern w:val="0"/>
          <w:lang w:val="en-US" w:eastAsia="fr-FR"/>
        </w:rPr>
      </w:pPr>
      <w:r w:rsidRPr="0047742F">
        <w:rPr>
          <w:kern w:val="0"/>
          <w:lang w:val="en-US" w:eastAsia="fr-FR"/>
        </w:rPr>
        <w:t>At each closing, the accountant follows the procedure below for each activity. If it has no cost accounting, it has only one activity. Otherwise, it has activity by type of product monitored by cost accounting.</w:t>
      </w:r>
    </w:p>
    <w:p w14:paraId="6FE5ED81" w14:textId="77777777" w:rsidR="0047742F" w:rsidRPr="0047742F" w:rsidRDefault="0047742F" w:rsidP="0047742F">
      <w:pPr>
        <w:pStyle w:val="Sansinterligne"/>
        <w:rPr>
          <w:kern w:val="0"/>
          <w:lang w:val="en-US" w:eastAsia="fr-FR"/>
        </w:rPr>
      </w:pPr>
      <w:r w:rsidRPr="0047742F">
        <w:rPr>
          <w:kern w:val="0"/>
          <w:lang w:val="en-US" w:eastAsia="fr-FR"/>
        </w:rPr>
        <w:t> </w:t>
      </w:r>
    </w:p>
    <w:p w14:paraId="62D55B1B" w14:textId="77777777" w:rsidR="0047742F" w:rsidRPr="0047742F" w:rsidRDefault="0047742F" w:rsidP="0047742F">
      <w:pPr>
        <w:pStyle w:val="Sansinterligne"/>
        <w:rPr>
          <w:kern w:val="0"/>
          <w:lang w:val="en-US" w:eastAsia="fr-FR"/>
        </w:rPr>
      </w:pPr>
      <w:r w:rsidRPr="0047742F">
        <w:rPr>
          <w:kern w:val="0"/>
          <w:lang w:val="en-US" w:eastAsia="fr-FR"/>
        </w:rPr>
        <w:t xml:space="preserve">For any or </w:t>
      </w:r>
      <w:proofErr w:type="gramStart"/>
      <w:r w:rsidRPr="0047742F">
        <w:rPr>
          <w:kern w:val="0"/>
          <w:lang w:val="en-US" w:eastAsia="fr-FR"/>
        </w:rPr>
        <w:t>all of</w:t>
      </w:r>
      <w:proofErr w:type="gramEnd"/>
      <w:r w:rsidRPr="0047742F">
        <w:rPr>
          <w:kern w:val="0"/>
          <w:lang w:val="en-US" w:eastAsia="fr-FR"/>
        </w:rPr>
        <w:t xml:space="preserve"> his activities, he checks the “non-energy” coefficients for his activity on the calculator, then fills it in, in three steps.</w:t>
      </w:r>
    </w:p>
    <w:p w14:paraId="2E1514B8" w14:textId="77777777" w:rsidR="0047742F" w:rsidRPr="0047742F" w:rsidRDefault="0047742F" w:rsidP="0047742F">
      <w:pPr>
        <w:pStyle w:val="Sansinterligne"/>
        <w:rPr>
          <w:kern w:val="0"/>
          <w:lang w:val="en-US" w:eastAsia="fr-FR"/>
        </w:rPr>
      </w:pPr>
      <w:r w:rsidRPr="0047742F">
        <w:rPr>
          <w:kern w:val="0"/>
          <w:lang w:val="en-US" w:eastAsia="fr-FR"/>
        </w:rPr>
        <w:t> </w:t>
      </w:r>
    </w:p>
    <w:p w14:paraId="02BB4639" w14:textId="77777777" w:rsidR="0047742F" w:rsidRDefault="0047742F" w:rsidP="0047742F">
      <w:pPr>
        <w:pStyle w:val="Sansinterligne"/>
        <w:rPr>
          <w:b/>
          <w:bCs/>
          <w:kern w:val="0"/>
          <w:sz w:val="36"/>
          <w:szCs w:val="36"/>
          <w:bdr w:val="none" w:sz="0" w:space="0" w:color="auto" w:frame="1"/>
          <w:lang w:val="en-US" w:eastAsia="fr-FR"/>
        </w:rPr>
      </w:pPr>
    </w:p>
    <w:p w14:paraId="79C89E9F" w14:textId="54BA1B6F" w:rsidR="0047742F" w:rsidRPr="0047742F" w:rsidRDefault="0047742F" w:rsidP="0047742F">
      <w:pPr>
        <w:pStyle w:val="Sansinterligne"/>
        <w:rPr>
          <w:b/>
          <w:bCs/>
          <w:kern w:val="0"/>
          <w:sz w:val="36"/>
          <w:szCs w:val="36"/>
          <w:bdr w:val="none" w:sz="0" w:space="0" w:color="auto" w:frame="1"/>
          <w:lang w:val="en-US" w:eastAsia="fr-FR"/>
        </w:rPr>
      </w:pPr>
      <w:r w:rsidRPr="0047742F">
        <w:rPr>
          <w:b/>
          <w:bCs/>
          <w:kern w:val="0"/>
          <w:sz w:val="36"/>
          <w:szCs w:val="36"/>
          <w:bdr w:val="none" w:sz="0" w:space="0" w:color="auto" w:frame="1"/>
          <w:lang w:val="en-US" w:eastAsia="fr-FR"/>
        </w:rPr>
        <w:t>The first step is to add up the carbons of purchase invoices, by type.</w:t>
      </w:r>
    </w:p>
    <w:p w14:paraId="66671764" w14:textId="77777777" w:rsidR="0047742F" w:rsidRPr="0047742F" w:rsidRDefault="0047742F" w:rsidP="0047742F">
      <w:pPr>
        <w:pStyle w:val="Sansinterligne"/>
        <w:rPr>
          <w:kern w:val="0"/>
          <w:lang w:val="en-US" w:eastAsia="fr-FR"/>
        </w:rPr>
      </w:pPr>
    </w:p>
    <w:p w14:paraId="207A3A6A" w14:textId="77777777" w:rsidR="0047742F" w:rsidRPr="0047742F" w:rsidRDefault="0047742F" w:rsidP="0047742F">
      <w:pPr>
        <w:pStyle w:val="Sansinterligne"/>
        <w:rPr>
          <w:kern w:val="0"/>
          <w:lang w:val="en-US" w:eastAsia="fr-FR"/>
        </w:rPr>
      </w:pPr>
      <w:r w:rsidRPr="0047742F">
        <w:rPr>
          <w:kern w:val="0"/>
          <w:lang w:val="en-US" w:eastAsia="fr-FR"/>
        </w:rPr>
        <w:t>If the company has cost accounting, this step is carried out for each activity monitored.</w:t>
      </w:r>
    </w:p>
    <w:p w14:paraId="0C1FC9B4" w14:textId="77777777" w:rsidR="0047742F" w:rsidRPr="0047742F" w:rsidRDefault="0047742F" w:rsidP="0047742F">
      <w:pPr>
        <w:pStyle w:val="Sansinterligne"/>
        <w:rPr>
          <w:kern w:val="0"/>
          <w:lang w:val="en-US" w:eastAsia="fr-FR"/>
        </w:rPr>
      </w:pPr>
      <w:r w:rsidRPr="0047742F">
        <w:rPr>
          <w:kern w:val="0"/>
          <w:lang w:val="en-US" w:eastAsia="fr-FR"/>
        </w:rPr>
        <w:t>(In the case of commercial activity, purchase invoices for what is sold are counted separately).</w:t>
      </w:r>
    </w:p>
    <w:p w14:paraId="3A89C606" w14:textId="77777777" w:rsidR="0047742F" w:rsidRPr="0047742F" w:rsidRDefault="0047742F" w:rsidP="0047742F">
      <w:pPr>
        <w:pStyle w:val="Sansinterligne"/>
        <w:rPr>
          <w:kern w:val="0"/>
          <w:lang w:val="en-US" w:eastAsia="fr-FR"/>
        </w:rPr>
      </w:pPr>
      <w:r w:rsidRPr="0047742F">
        <w:rPr>
          <w:kern w:val="0"/>
          <w:lang w:val="en-US" w:eastAsia="fr-FR"/>
        </w:rPr>
        <w:t>For most companies, this stage boils down to </w:t>
      </w:r>
      <w:r w:rsidRPr="0047742F">
        <w:rPr>
          <w:kern w:val="0"/>
          <w:bdr w:val="none" w:sz="0" w:space="0" w:color="auto" w:frame="1"/>
          <w:lang w:val="en-US" w:eastAsia="fr-FR"/>
        </w:rPr>
        <w:t>adding up the carbons of purchase invoices</w:t>
      </w:r>
      <w:r w:rsidRPr="0047742F">
        <w:rPr>
          <w:kern w:val="0"/>
          <w:lang w:val="en-US" w:eastAsia="fr-FR"/>
        </w:rPr>
        <w:t>, by </w:t>
      </w:r>
      <w:r w:rsidRPr="0047742F">
        <w:rPr>
          <w:kern w:val="0"/>
          <w:bdr w:val="none" w:sz="0" w:space="0" w:color="auto" w:frame="1"/>
          <w:lang w:val="en-US" w:eastAsia="fr-FR"/>
        </w:rPr>
        <w:t xml:space="preserve">type of </w:t>
      </w:r>
      <w:proofErr w:type="gramStart"/>
      <w:r w:rsidRPr="0047742F">
        <w:rPr>
          <w:kern w:val="0"/>
          <w:bdr w:val="none" w:sz="0" w:space="0" w:color="auto" w:frame="1"/>
          <w:lang w:val="en-US" w:eastAsia="fr-FR"/>
        </w:rPr>
        <w:t>purchase</w:t>
      </w:r>
      <w:r w:rsidRPr="0047742F">
        <w:rPr>
          <w:kern w:val="0"/>
          <w:lang w:val="en-US" w:eastAsia="fr-FR"/>
        </w:rPr>
        <w:t> :</w:t>
      </w:r>
      <w:proofErr w:type="gramEnd"/>
    </w:p>
    <w:p w14:paraId="527EA088" w14:textId="77777777" w:rsidR="0047742F" w:rsidRPr="0047742F" w:rsidRDefault="0047742F" w:rsidP="0047742F">
      <w:pPr>
        <w:pStyle w:val="Sansinterligne"/>
        <w:rPr>
          <w:kern w:val="0"/>
          <w:lang w:val="en-US" w:eastAsia="fr-FR"/>
        </w:rPr>
      </w:pPr>
      <w:r w:rsidRPr="0047742F">
        <w:rPr>
          <w:kern w:val="0"/>
          <w:lang w:val="en-US" w:eastAsia="fr-FR"/>
        </w:rPr>
        <w:t>– Electricity, with a distinction made between peak and off-peak hours,</w:t>
      </w:r>
    </w:p>
    <w:p w14:paraId="5EE15EC4" w14:textId="77777777" w:rsidR="0047742F" w:rsidRPr="0047742F" w:rsidRDefault="0047742F" w:rsidP="0047742F">
      <w:pPr>
        <w:pStyle w:val="Sansinterligne"/>
        <w:rPr>
          <w:kern w:val="0"/>
          <w:lang w:val="en-US" w:eastAsia="fr-FR"/>
        </w:rPr>
      </w:pPr>
      <w:r w:rsidRPr="0047742F">
        <w:rPr>
          <w:kern w:val="0"/>
          <w:lang w:val="en-US" w:eastAsia="fr-FR"/>
        </w:rPr>
        <w:t>– Each fuel category (petrol, gas…)</w:t>
      </w:r>
    </w:p>
    <w:p w14:paraId="06FD6B7C" w14:textId="77777777" w:rsidR="0047742F" w:rsidRPr="0047742F" w:rsidRDefault="0047742F" w:rsidP="0047742F">
      <w:pPr>
        <w:pStyle w:val="Sansinterligne"/>
        <w:rPr>
          <w:kern w:val="0"/>
          <w:lang w:val="en-US" w:eastAsia="fr-FR"/>
        </w:rPr>
      </w:pPr>
      <w:r w:rsidRPr="0047742F">
        <w:rPr>
          <w:kern w:val="0"/>
          <w:lang w:val="en-US" w:eastAsia="fr-FR"/>
        </w:rPr>
        <w:t>– Other purchases.</w:t>
      </w:r>
    </w:p>
    <w:p w14:paraId="43112533" w14:textId="77777777" w:rsidR="0047742F" w:rsidRPr="0047742F" w:rsidRDefault="0047742F" w:rsidP="0047742F">
      <w:pPr>
        <w:pStyle w:val="Sansinterligne"/>
        <w:rPr>
          <w:kern w:val="0"/>
          <w:lang w:val="en-US" w:eastAsia="fr-FR"/>
        </w:rPr>
      </w:pPr>
      <w:r w:rsidRPr="0047742F">
        <w:rPr>
          <w:kern w:val="0"/>
          <w:lang w:val="en-US" w:eastAsia="fr-FR"/>
        </w:rPr>
        <w:lastRenderedPageBreak/>
        <w:t>For each type of purchase, the accountant separates invoices with carbon information from other invoices.</w:t>
      </w:r>
    </w:p>
    <w:p w14:paraId="03CCF55D" w14:textId="77777777" w:rsidR="0047742F" w:rsidRPr="0047742F" w:rsidRDefault="0047742F" w:rsidP="0047742F">
      <w:pPr>
        <w:pStyle w:val="Sansinterligne"/>
        <w:rPr>
          <w:kern w:val="0"/>
          <w:lang w:val="en-US" w:eastAsia="fr-FR"/>
        </w:rPr>
      </w:pPr>
      <w:r w:rsidRPr="0047742F">
        <w:rPr>
          <w:kern w:val="0"/>
          <w:lang w:val="en-US" w:eastAsia="fr-FR"/>
        </w:rPr>
        <w:t>– For invoices that have been filled in, it adds up the carbon weights on the one hand, and the quantities in the counting unit on the other: physical unit for energy (kWh, liters, m</w:t>
      </w:r>
      <w:r w:rsidRPr="0047742F">
        <w:rPr>
          <w:kern w:val="0"/>
          <w:bdr w:val="none" w:sz="0" w:space="0" w:color="auto" w:frame="1"/>
          <w:vertAlign w:val="superscript"/>
          <w:lang w:val="en-US" w:eastAsia="fr-FR"/>
        </w:rPr>
        <w:t>3</w:t>
      </w:r>
      <w:r w:rsidRPr="0047742F">
        <w:rPr>
          <w:kern w:val="0"/>
          <w:lang w:val="en-US" w:eastAsia="fr-FR"/>
        </w:rPr>
        <w:t>…); monetary unit for other purchases.</w:t>
      </w:r>
    </w:p>
    <w:p w14:paraId="68EDB079" w14:textId="77777777" w:rsidR="0047742F" w:rsidRPr="0047742F" w:rsidRDefault="0047742F" w:rsidP="0047742F">
      <w:pPr>
        <w:pStyle w:val="Sansinterligne"/>
        <w:rPr>
          <w:kern w:val="0"/>
          <w:lang w:val="en-US" w:eastAsia="fr-FR"/>
        </w:rPr>
      </w:pPr>
      <w:r w:rsidRPr="0047742F">
        <w:rPr>
          <w:kern w:val="0"/>
          <w:lang w:val="en-US" w:eastAsia="fr-FR"/>
        </w:rPr>
        <w:t>– For invoices with no information, only the quantities are added, and the calculator transforms the sum into carbons by multiplying it by the emission factor of a public source for this type of purchase. It is in the accountant’s interest to ask suppliers who do not yet provide carbon data to do so in future. View </w:t>
      </w:r>
      <w:hyperlink r:id="rId9" w:history="1">
        <w:r w:rsidRPr="0047742F">
          <w:rPr>
            <w:color w:val="F0CF34"/>
            <w:kern w:val="0"/>
            <w:u w:val="single"/>
            <w:bdr w:val="none" w:sz="0" w:space="0" w:color="auto" w:frame="1"/>
            <w:lang w:val="en-US" w:eastAsia="fr-FR"/>
          </w:rPr>
          <w:t>a Suggested Message.</w:t>
        </w:r>
      </w:hyperlink>
    </w:p>
    <w:p w14:paraId="0197FAF0" w14:textId="77777777" w:rsidR="0047742F" w:rsidRPr="0047742F" w:rsidRDefault="0047742F" w:rsidP="0047742F">
      <w:pPr>
        <w:pStyle w:val="Sansinterligne"/>
        <w:rPr>
          <w:kern w:val="0"/>
          <w:lang w:val="en-US" w:eastAsia="fr-FR"/>
        </w:rPr>
      </w:pPr>
      <w:r w:rsidRPr="0047742F">
        <w:rPr>
          <w:i/>
          <w:iCs/>
          <w:kern w:val="0"/>
          <w:bdr w:val="none" w:sz="0" w:space="0" w:color="auto" w:frame="1"/>
          <w:lang w:val="en-US" w:eastAsia="fr-FR"/>
        </w:rPr>
        <w:t>(For information, the emission factor of a product is the quantity of carbon emitted, including upstream, to produce one unit of the product.</w:t>
      </w:r>
    </w:p>
    <w:p w14:paraId="3E8268A8" w14:textId="77777777" w:rsidR="0047742F" w:rsidRPr="0047742F" w:rsidRDefault="0047742F" w:rsidP="0047742F">
      <w:pPr>
        <w:pStyle w:val="Sansinterligne"/>
        <w:rPr>
          <w:kern w:val="0"/>
          <w:lang w:val="en-US" w:eastAsia="fr-FR"/>
        </w:rPr>
      </w:pPr>
      <w:r w:rsidRPr="0047742F">
        <w:rPr>
          <w:i/>
          <w:iCs/>
          <w:kern w:val="0"/>
          <w:bdr w:val="none" w:sz="0" w:space="0" w:color="auto" w:frame="1"/>
          <w:lang w:val="en-US" w:eastAsia="fr-FR"/>
        </w:rPr>
        <w:t>– A physical emission factor gives a weight of carbons per physical unit. For example, X kilos of carbon per kWh of electricity</w:t>
      </w:r>
    </w:p>
    <w:p w14:paraId="2BF5D9F6" w14:textId="77777777" w:rsidR="0047742F" w:rsidRPr="0047742F" w:rsidRDefault="0047742F" w:rsidP="0047742F">
      <w:pPr>
        <w:pStyle w:val="Sansinterligne"/>
        <w:rPr>
          <w:kern w:val="0"/>
          <w:lang w:val="en-US" w:eastAsia="fr-FR"/>
        </w:rPr>
      </w:pPr>
      <w:r w:rsidRPr="0047742F">
        <w:rPr>
          <w:i/>
          <w:iCs/>
          <w:kern w:val="0"/>
          <w:bdr w:val="none" w:sz="0" w:space="0" w:color="auto" w:frame="1"/>
          <w:lang w:val="en-US" w:eastAsia="fr-FR"/>
        </w:rPr>
        <w:t>– A monetary emission factor gives the weight per monetary unit. For example, Y kilos of carbon for one euro of non-energy purchases.</w:t>
      </w:r>
    </w:p>
    <w:p w14:paraId="4974F881" w14:textId="77777777" w:rsidR="0047742F" w:rsidRDefault="0047742F" w:rsidP="0047742F">
      <w:pPr>
        <w:pStyle w:val="Sansinterligne"/>
        <w:rPr>
          <w:kern w:val="0"/>
          <w:bdr w:val="none" w:sz="0" w:space="0" w:color="auto" w:frame="1"/>
          <w:lang w:val="en-US" w:eastAsia="fr-FR"/>
        </w:rPr>
      </w:pPr>
    </w:p>
    <w:p w14:paraId="11B78B03" w14:textId="46D73765" w:rsidR="0047742F" w:rsidRPr="0047742F" w:rsidRDefault="0047742F" w:rsidP="0047742F">
      <w:pPr>
        <w:pStyle w:val="Sansinterligne"/>
        <w:rPr>
          <w:kern w:val="0"/>
          <w:lang w:val="en-US" w:eastAsia="fr-FR"/>
        </w:rPr>
      </w:pPr>
      <w:r w:rsidRPr="0047742F">
        <w:rPr>
          <w:kern w:val="0"/>
          <w:bdr w:val="none" w:sz="0" w:space="0" w:color="auto" w:frame="1"/>
          <w:lang w:val="en-US" w:eastAsia="fr-FR"/>
        </w:rPr>
        <w:t xml:space="preserve">For </w:t>
      </w:r>
      <w:proofErr w:type="gramStart"/>
      <w:r w:rsidRPr="0047742F">
        <w:rPr>
          <w:kern w:val="0"/>
          <w:bdr w:val="none" w:sz="0" w:space="0" w:color="auto" w:frame="1"/>
          <w:lang w:val="en-US" w:eastAsia="fr-FR"/>
        </w:rPr>
        <w:t>the majority of</w:t>
      </w:r>
      <w:proofErr w:type="gramEnd"/>
      <w:r w:rsidRPr="0047742F">
        <w:rPr>
          <w:kern w:val="0"/>
          <w:bdr w:val="none" w:sz="0" w:space="0" w:color="auto" w:frame="1"/>
          <w:lang w:val="en-US" w:eastAsia="fr-FR"/>
        </w:rPr>
        <w:t xml:space="preserve"> companies, step 1 ends there, and the total carbon footprint of purchasing corresponds to the entire annual carbon footprint of the company, or of that company’s activity.</w:t>
      </w:r>
    </w:p>
    <w:p w14:paraId="495CA0FF" w14:textId="77777777" w:rsidR="0047742F" w:rsidRPr="0047742F" w:rsidRDefault="0047742F" w:rsidP="0047742F">
      <w:pPr>
        <w:pStyle w:val="Sansinterligne"/>
        <w:rPr>
          <w:kern w:val="0"/>
          <w:lang w:val="en-US" w:eastAsia="fr-FR"/>
        </w:rPr>
      </w:pPr>
      <w:r w:rsidRPr="0047742F">
        <w:rPr>
          <w:kern w:val="0"/>
          <w:bdr w:val="none" w:sz="0" w:space="0" w:color="auto" w:frame="1"/>
          <w:lang w:val="en-US" w:eastAsia="fr-FR"/>
        </w:rPr>
        <w:t>For a minority of companies, those whose activity captures or emits carbons beyond the combustion of purchased fuels, the accountant relies on an environmental consultant to measure these carbons, which he will enter and which the calculator will subtract or add from the carbons of purchases.</w:t>
      </w:r>
    </w:p>
    <w:p w14:paraId="517641CC" w14:textId="77777777" w:rsidR="0047742F" w:rsidRDefault="0047742F" w:rsidP="0047742F">
      <w:pPr>
        <w:pStyle w:val="Sansinterligne"/>
        <w:rPr>
          <w:kern w:val="0"/>
          <w:bdr w:val="none" w:sz="0" w:space="0" w:color="auto" w:frame="1"/>
          <w:lang w:val="en-US" w:eastAsia="fr-FR"/>
        </w:rPr>
      </w:pPr>
    </w:p>
    <w:p w14:paraId="398F4612" w14:textId="77777777" w:rsidR="0047742F" w:rsidRDefault="0047742F" w:rsidP="0047742F">
      <w:pPr>
        <w:pStyle w:val="Sansinterligne"/>
        <w:rPr>
          <w:b/>
          <w:bCs/>
          <w:kern w:val="0"/>
          <w:sz w:val="36"/>
          <w:szCs w:val="36"/>
          <w:bdr w:val="none" w:sz="0" w:space="0" w:color="auto" w:frame="1"/>
          <w:lang w:val="en-US" w:eastAsia="fr-FR"/>
        </w:rPr>
      </w:pPr>
    </w:p>
    <w:p w14:paraId="0199253E" w14:textId="6581A477" w:rsidR="0047742F" w:rsidRPr="0047742F" w:rsidRDefault="0047742F" w:rsidP="0047742F">
      <w:pPr>
        <w:pStyle w:val="Sansinterligne"/>
        <w:rPr>
          <w:b/>
          <w:bCs/>
          <w:kern w:val="0"/>
          <w:sz w:val="36"/>
          <w:szCs w:val="36"/>
          <w:lang w:val="en-US" w:eastAsia="fr-FR"/>
        </w:rPr>
      </w:pPr>
      <w:r w:rsidRPr="0047742F">
        <w:rPr>
          <w:b/>
          <w:bCs/>
          <w:kern w:val="0"/>
          <w:sz w:val="36"/>
          <w:szCs w:val="36"/>
          <w:bdr w:val="none" w:sz="0" w:space="0" w:color="auto" w:frame="1"/>
          <w:lang w:val="en-US" w:eastAsia="fr-FR"/>
        </w:rPr>
        <w:t>The 2nd step is to measure the emission factor(s) of the products.</w:t>
      </w:r>
    </w:p>
    <w:p w14:paraId="6B365D64" w14:textId="77777777" w:rsidR="0047742F" w:rsidRPr="0047742F" w:rsidRDefault="0047742F" w:rsidP="0047742F">
      <w:pPr>
        <w:pStyle w:val="Sansinterligne"/>
        <w:rPr>
          <w:kern w:val="0"/>
          <w:lang w:val="en-US" w:eastAsia="fr-FR"/>
        </w:rPr>
      </w:pPr>
      <w:r w:rsidRPr="0047742F">
        <w:rPr>
          <w:kern w:val="0"/>
          <w:lang w:val="en-US" w:eastAsia="fr-FR"/>
        </w:rPr>
        <w:t> </w:t>
      </w:r>
    </w:p>
    <w:p w14:paraId="1FA9A311" w14:textId="77777777" w:rsidR="0047742F" w:rsidRPr="0047742F" w:rsidRDefault="0047742F" w:rsidP="0047742F">
      <w:pPr>
        <w:pStyle w:val="Sansinterligne"/>
        <w:rPr>
          <w:kern w:val="0"/>
          <w:lang w:val="en-US" w:eastAsia="fr-FR"/>
        </w:rPr>
      </w:pPr>
      <w:r w:rsidRPr="0047742F">
        <w:rPr>
          <w:kern w:val="0"/>
          <w:bdr w:val="none" w:sz="0" w:space="0" w:color="auto" w:frame="1"/>
          <w:lang w:val="en-US" w:eastAsia="fr-FR"/>
        </w:rPr>
        <w:t>The 2nd</w:t>
      </w:r>
      <w:r w:rsidRPr="0047742F">
        <w:rPr>
          <w:kern w:val="0"/>
          <w:lang w:val="en-US" w:eastAsia="fr-FR"/>
        </w:rPr>
        <w:t> </w:t>
      </w:r>
      <w:r w:rsidRPr="0047742F">
        <w:rPr>
          <w:kern w:val="0"/>
          <w:bdr w:val="none" w:sz="0" w:space="0" w:color="auto" w:frame="1"/>
          <w:lang w:val="en-US" w:eastAsia="fr-FR"/>
        </w:rPr>
        <w:t>step for the accountant is to obtain the</w:t>
      </w:r>
      <w:r w:rsidRPr="0047742F">
        <w:rPr>
          <w:kern w:val="0"/>
          <w:lang w:val="en-US" w:eastAsia="fr-FR"/>
        </w:rPr>
        <w:t> </w:t>
      </w:r>
      <w:r w:rsidRPr="0047742F">
        <w:rPr>
          <w:kern w:val="0"/>
          <w:bdr w:val="none" w:sz="0" w:space="0" w:color="auto" w:frame="1"/>
          <w:lang w:val="en-US" w:eastAsia="fr-FR"/>
        </w:rPr>
        <w:t>monetary emission factor associated with sales</w:t>
      </w:r>
      <w:r w:rsidRPr="0047742F">
        <w:rPr>
          <w:kern w:val="0"/>
          <w:lang w:val="en-US" w:eastAsia="fr-FR"/>
        </w:rPr>
        <w:t>, </w:t>
      </w:r>
      <w:r w:rsidRPr="0047742F">
        <w:rPr>
          <w:kern w:val="0"/>
          <w:bdr w:val="none" w:sz="0" w:space="0" w:color="auto" w:frame="1"/>
          <w:lang w:val="en-US" w:eastAsia="fr-FR"/>
        </w:rPr>
        <w:t>for the whole company or for this activity.</w:t>
      </w:r>
    </w:p>
    <w:p w14:paraId="49E18B2E" w14:textId="77777777" w:rsidR="0047742F" w:rsidRPr="0047742F" w:rsidRDefault="0047742F" w:rsidP="0047742F">
      <w:pPr>
        <w:pStyle w:val="Sansinterligne"/>
        <w:rPr>
          <w:kern w:val="0"/>
          <w:lang w:val="en-US" w:eastAsia="fr-FR"/>
        </w:rPr>
      </w:pPr>
      <w:r w:rsidRPr="0047742F">
        <w:rPr>
          <w:kern w:val="0"/>
          <w:bdr w:val="none" w:sz="0" w:space="0" w:color="auto" w:frame="1"/>
          <w:lang w:val="en-US" w:eastAsia="fr-FR"/>
        </w:rPr>
        <w:t>To do this, we divide the annual production footprint by the sales excluding VAT for the same period.</w:t>
      </w:r>
    </w:p>
    <w:p w14:paraId="6CA552E7" w14:textId="77777777" w:rsidR="0047742F" w:rsidRPr="0047742F" w:rsidRDefault="0047742F" w:rsidP="0047742F">
      <w:pPr>
        <w:pStyle w:val="Sansinterligne"/>
        <w:rPr>
          <w:kern w:val="0"/>
          <w:lang w:val="en-US" w:eastAsia="fr-FR"/>
        </w:rPr>
      </w:pPr>
      <w:r w:rsidRPr="0047742F">
        <w:rPr>
          <w:kern w:val="0"/>
          <w:lang w:val="en-US" w:eastAsia="fr-FR"/>
        </w:rPr>
        <w:t> </w:t>
      </w:r>
    </w:p>
    <w:p w14:paraId="6EB583ED" w14:textId="77777777" w:rsidR="0047742F" w:rsidRDefault="0047742F" w:rsidP="0047742F">
      <w:pPr>
        <w:pStyle w:val="Sansinterligne"/>
        <w:rPr>
          <w:b/>
          <w:bCs/>
          <w:kern w:val="0"/>
          <w:sz w:val="36"/>
          <w:szCs w:val="36"/>
          <w:bdr w:val="none" w:sz="0" w:space="0" w:color="auto" w:frame="1"/>
          <w:lang w:val="en-US" w:eastAsia="fr-FR"/>
        </w:rPr>
      </w:pPr>
    </w:p>
    <w:p w14:paraId="1D6A570A" w14:textId="487FED0A" w:rsidR="0047742F" w:rsidRPr="0047742F" w:rsidRDefault="0047742F" w:rsidP="0047742F">
      <w:pPr>
        <w:pStyle w:val="Sansinterligne"/>
        <w:rPr>
          <w:b/>
          <w:bCs/>
          <w:kern w:val="0"/>
          <w:sz w:val="36"/>
          <w:szCs w:val="36"/>
          <w:bdr w:val="none" w:sz="0" w:space="0" w:color="auto" w:frame="1"/>
          <w:lang w:val="en-US" w:eastAsia="fr-FR"/>
        </w:rPr>
      </w:pPr>
      <w:r w:rsidRPr="0047742F">
        <w:rPr>
          <w:b/>
          <w:bCs/>
          <w:kern w:val="0"/>
          <w:sz w:val="36"/>
          <w:szCs w:val="36"/>
          <w:bdr w:val="none" w:sz="0" w:space="0" w:color="auto" w:frame="1"/>
          <w:lang w:val="en-US" w:eastAsia="fr-FR"/>
        </w:rPr>
        <w:t>The third step is to pass on the carbon weights to customers.</w:t>
      </w:r>
    </w:p>
    <w:p w14:paraId="30B76C8B" w14:textId="77777777" w:rsidR="0047742F" w:rsidRPr="0047742F" w:rsidRDefault="0047742F" w:rsidP="0047742F">
      <w:pPr>
        <w:pStyle w:val="Sansinterligne"/>
        <w:rPr>
          <w:kern w:val="0"/>
          <w:lang w:val="en-US" w:eastAsia="fr-FR"/>
        </w:rPr>
      </w:pPr>
    </w:p>
    <w:p w14:paraId="1399DC7F" w14:textId="77777777" w:rsidR="0047742F" w:rsidRPr="0047742F" w:rsidRDefault="0047742F" w:rsidP="0047742F">
      <w:pPr>
        <w:pStyle w:val="Sansinterligne"/>
        <w:rPr>
          <w:kern w:val="0"/>
          <w:lang w:val="en-US" w:eastAsia="fr-FR"/>
        </w:rPr>
      </w:pPr>
      <w:r w:rsidRPr="0047742F">
        <w:rPr>
          <w:kern w:val="0"/>
          <w:bdr w:val="none" w:sz="0" w:space="0" w:color="auto" w:frame="1"/>
          <w:lang w:val="en-US" w:eastAsia="fr-FR"/>
        </w:rPr>
        <w:t>The factor(s) used in step 2 enable the company to pass on the carbons corresponding to this invoice to each customer, by multiplying the monetary emission factor for production by the amount of the invoice before tax.</w:t>
      </w:r>
    </w:p>
    <w:p w14:paraId="10ACC104" w14:textId="77777777" w:rsidR="0047742F" w:rsidRPr="0047742F" w:rsidRDefault="0047742F" w:rsidP="0047742F">
      <w:pPr>
        <w:pStyle w:val="Sansinterligne"/>
        <w:rPr>
          <w:kern w:val="0"/>
          <w:lang w:val="en-US" w:eastAsia="fr-FR"/>
        </w:rPr>
      </w:pPr>
      <w:r w:rsidRPr="0047742F">
        <w:rPr>
          <w:kern w:val="0"/>
          <w:bdr w:val="none" w:sz="0" w:space="0" w:color="auto" w:frame="1"/>
          <w:lang w:val="en-US" w:eastAsia="fr-FR"/>
        </w:rPr>
        <w:t>The merchant adds the weight of the product sold.</w:t>
      </w:r>
    </w:p>
    <w:p w14:paraId="4E7577DD" w14:textId="77777777" w:rsidR="0047742F" w:rsidRPr="0047742F" w:rsidRDefault="0047742F" w:rsidP="0047742F">
      <w:pPr>
        <w:pStyle w:val="Sansinterligne"/>
        <w:rPr>
          <w:kern w:val="0"/>
          <w:lang w:val="en-US" w:eastAsia="fr-FR"/>
        </w:rPr>
      </w:pPr>
      <w:r w:rsidRPr="0047742F">
        <w:rPr>
          <w:kern w:val="0"/>
          <w:bdr w:val="none" w:sz="0" w:space="0" w:color="auto" w:frame="1"/>
          <w:lang w:val="en-US" w:eastAsia="fr-FR"/>
        </w:rPr>
        <w:t>To limit significant fluctuations in the weight passed on to customers, the company can ask its accountant to smooth them out.</w:t>
      </w:r>
    </w:p>
    <w:p w14:paraId="0B844915" w14:textId="77777777" w:rsidR="0047742F" w:rsidRPr="0047742F" w:rsidRDefault="0047742F" w:rsidP="0047742F">
      <w:pPr>
        <w:pStyle w:val="Sansinterligne"/>
        <w:rPr>
          <w:kern w:val="0"/>
          <w:lang w:val="en-US" w:eastAsia="fr-FR"/>
        </w:rPr>
      </w:pPr>
      <w:r w:rsidRPr="0047742F">
        <w:rPr>
          <w:kern w:val="0"/>
          <w:bdr w:val="none" w:sz="0" w:space="0" w:color="auto" w:frame="1"/>
          <w:lang w:val="en-US" w:eastAsia="fr-FR"/>
        </w:rPr>
        <w:t xml:space="preserve">– For one-off surges, it can use an emission factor different from the one obtained in step </w:t>
      </w:r>
      <w:proofErr w:type="gramStart"/>
      <w:r w:rsidRPr="0047742F">
        <w:rPr>
          <w:kern w:val="0"/>
          <w:bdr w:val="none" w:sz="0" w:space="0" w:color="auto" w:frame="1"/>
          <w:lang w:val="en-US" w:eastAsia="fr-FR"/>
        </w:rPr>
        <w:t>2, and</w:t>
      </w:r>
      <w:proofErr w:type="gramEnd"/>
      <w:r w:rsidRPr="0047742F">
        <w:rPr>
          <w:kern w:val="0"/>
          <w:bdr w:val="none" w:sz="0" w:space="0" w:color="auto" w:frame="1"/>
          <w:lang w:val="en-US" w:eastAsia="fr-FR"/>
        </w:rPr>
        <w:t xml:space="preserve"> track the carbon differences not passed on or passed on in excess,</w:t>
      </w:r>
      <w:r w:rsidRPr="0047742F">
        <w:rPr>
          <w:kern w:val="0"/>
          <w:lang w:val="en-US" w:eastAsia="fr-FR"/>
        </w:rPr>
        <w:t> </w:t>
      </w:r>
      <w:r w:rsidRPr="0047742F">
        <w:rPr>
          <w:kern w:val="0"/>
          <w:bdr w:val="none" w:sz="0" w:space="0" w:color="auto" w:frame="1"/>
          <w:lang w:val="en-US" w:eastAsia="fr-FR"/>
        </w:rPr>
        <w:t>to ensure the neutrality of the mechanism over time.</w:t>
      </w:r>
    </w:p>
    <w:p w14:paraId="6CF45E67" w14:textId="77777777" w:rsidR="0047742F" w:rsidRPr="0047742F" w:rsidRDefault="0047742F" w:rsidP="0047742F">
      <w:pPr>
        <w:pStyle w:val="Sansinterligne"/>
        <w:rPr>
          <w:kern w:val="0"/>
          <w:lang w:val="en-US" w:eastAsia="fr-FR"/>
        </w:rPr>
      </w:pPr>
      <w:r w:rsidRPr="0047742F">
        <w:rPr>
          <w:kern w:val="0"/>
          <w:lang w:val="en-US" w:eastAsia="fr-FR"/>
        </w:rPr>
        <w:t>– </w:t>
      </w:r>
      <w:r w:rsidRPr="0047742F">
        <w:rPr>
          <w:kern w:val="0"/>
          <w:bdr w:val="none" w:sz="0" w:space="0" w:color="auto" w:frame="1"/>
          <w:lang w:val="en-US" w:eastAsia="fr-FR"/>
        </w:rPr>
        <w:t>In the event of structural upheavals, it can keep as simplified commitment carbon accounts</w:t>
      </w:r>
      <w:r w:rsidRPr="0047742F">
        <w:rPr>
          <w:kern w:val="0"/>
          <w:lang w:val="en-US" w:eastAsia="fr-FR"/>
        </w:rPr>
        <w:t> </w:t>
      </w:r>
      <w:r w:rsidRPr="0047742F">
        <w:rPr>
          <w:kern w:val="0"/>
          <w:bdr w:val="none" w:sz="0" w:space="0" w:color="auto" w:frame="1"/>
          <w:lang w:val="en-US" w:eastAsia="fr-FR"/>
        </w:rPr>
        <w:t>as it wishes, without ever exceeding the rules followed in monetary accounting, so as not to delay the downstream repercussion of carbons already emitted.</w:t>
      </w:r>
    </w:p>
    <w:p w14:paraId="75D682F6" w14:textId="77777777" w:rsidR="0047742F" w:rsidRPr="0047742F" w:rsidRDefault="0047742F" w:rsidP="0047742F">
      <w:pPr>
        <w:pStyle w:val="Sansinterligne"/>
        <w:rPr>
          <w:kern w:val="0"/>
          <w:lang w:val="en-US" w:eastAsia="fr-FR"/>
        </w:rPr>
      </w:pPr>
      <w:r w:rsidRPr="0047742F">
        <w:rPr>
          <w:kern w:val="0"/>
          <w:bdr w:val="none" w:sz="0" w:space="0" w:color="auto" w:frame="1"/>
          <w:lang w:val="en-US" w:eastAsia="fr-FR"/>
        </w:rPr>
        <w:t xml:space="preserve">– For leased property and associated major works, it is recommended that these be passed on to tenants over 20 years, with a </w:t>
      </w:r>
      <w:proofErr w:type="spellStart"/>
      <w:r w:rsidRPr="0047742F">
        <w:rPr>
          <w:kern w:val="0"/>
          <w:bdr w:val="none" w:sz="0" w:space="0" w:color="auto" w:frame="1"/>
          <w:lang w:val="en-US" w:eastAsia="fr-FR"/>
        </w:rPr>
        <w:t>mutualisation</w:t>
      </w:r>
      <w:proofErr w:type="spellEnd"/>
      <w:r w:rsidRPr="0047742F">
        <w:rPr>
          <w:kern w:val="0"/>
          <w:bdr w:val="none" w:sz="0" w:space="0" w:color="auto" w:frame="1"/>
          <w:lang w:val="en-US" w:eastAsia="fr-FR"/>
        </w:rPr>
        <w:t xml:space="preserve"> of vacancy rates at industry level.</w:t>
      </w:r>
    </w:p>
    <w:p w14:paraId="416B06C9" w14:textId="77777777" w:rsidR="0047742F" w:rsidRDefault="0047742F" w:rsidP="0047742F">
      <w:pPr>
        <w:pStyle w:val="Sansinterligne"/>
        <w:rPr>
          <w:kern w:val="0"/>
          <w:lang w:val="en-US" w:eastAsia="fr-FR"/>
        </w:rPr>
      </w:pPr>
      <w:r w:rsidRPr="0047742F">
        <w:rPr>
          <w:kern w:val="0"/>
          <w:lang w:val="en-US" w:eastAsia="fr-FR"/>
        </w:rPr>
        <w:lastRenderedPageBreak/>
        <w:t>the company’s </w:t>
      </w:r>
      <w:r w:rsidRPr="0047742F">
        <w:rPr>
          <w:kern w:val="0"/>
          <w:bdr w:val="none" w:sz="0" w:space="0" w:color="auto" w:frame="1"/>
          <w:lang w:val="en-US" w:eastAsia="fr-FR"/>
        </w:rPr>
        <w:t xml:space="preserve">contribution to </w:t>
      </w:r>
      <w:proofErr w:type="spellStart"/>
      <w:r w:rsidRPr="0047742F">
        <w:rPr>
          <w:kern w:val="0"/>
          <w:bdr w:val="none" w:sz="0" w:space="0" w:color="auto" w:frame="1"/>
          <w:lang w:val="en-US" w:eastAsia="fr-FR"/>
        </w:rPr>
        <w:t>decarbonisation</w:t>
      </w:r>
      <w:proofErr w:type="spellEnd"/>
      <w:r w:rsidRPr="0047742F">
        <w:rPr>
          <w:kern w:val="0"/>
          <w:lang w:val="en-US" w:eastAsia="fr-FR"/>
        </w:rPr>
        <w:t> compared with the previous year is automatically calculated by </w:t>
      </w:r>
      <w:hyperlink r:id="rId10" w:history="1">
        <w:r w:rsidRPr="0047742F">
          <w:rPr>
            <w:color w:val="F0CF34"/>
            <w:kern w:val="0"/>
            <w:u w:val="single"/>
            <w:bdr w:val="none" w:sz="0" w:space="0" w:color="auto" w:frame="1"/>
            <w:lang w:val="en-US" w:eastAsia="fr-FR"/>
          </w:rPr>
          <w:t>the calculator.</w:t>
        </w:r>
      </w:hyperlink>
      <w:r w:rsidRPr="0047742F">
        <w:rPr>
          <w:kern w:val="0"/>
          <w:lang w:val="en-US" w:eastAsia="fr-FR"/>
        </w:rPr>
        <w:t> The calculation is explained here (</w:t>
      </w:r>
      <w:hyperlink r:id="rId11" w:history="1">
        <w:r w:rsidRPr="0047742F">
          <w:rPr>
            <w:color w:val="F0CF34"/>
            <w:kern w:val="0"/>
            <w:u w:val="single"/>
            <w:bdr w:val="none" w:sz="0" w:space="0" w:color="auto" w:frame="1"/>
            <w:lang w:val="en-US" w:eastAsia="fr-FR"/>
          </w:rPr>
          <w:t xml:space="preserve">Calculations of the contribution to </w:t>
        </w:r>
        <w:proofErr w:type="spellStart"/>
        <w:r w:rsidRPr="0047742F">
          <w:rPr>
            <w:color w:val="F0CF34"/>
            <w:kern w:val="0"/>
            <w:u w:val="single"/>
            <w:bdr w:val="none" w:sz="0" w:space="0" w:color="auto" w:frame="1"/>
            <w:lang w:val="en-US" w:eastAsia="fr-FR"/>
          </w:rPr>
          <w:t>decarbonisation</w:t>
        </w:r>
        <w:proofErr w:type="spellEnd"/>
      </w:hyperlink>
      <w:r w:rsidRPr="0047742F">
        <w:rPr>
          <w:kern w:val="0"/>
          <w:lang w:val="en-US" w:eastAsia="fr-FR"/>
        </w:rPr>
        <w:t>).</w:t>
      </w:r>
    </w:p>
    <w:p w14:paraId="0C9C2993" w14:textId="77777777" w:rsidR="0047742F" w:rsidRDefault="0047742F" w:rsidP="0047742F">
      <w:pPr>
        <w:pStyle w:val="Sansinterligne"/>
        <w:rPr>
          <w:kern w:val="0"/>
          <w:lang w:val="en-US" w:eastAsia="fr-FR"/>
        </w:rPr>
      </w:pPr>
    </w:p>
    <w:p w14:paraId="52630982" w14:textId="77777777" w:rsidR="0047742F" w:rsidRPr="0047742F" w:rsidRDefault="0047742F" w:rsidP="0047742F">
      <w:pPr>
        <w:pStyle w:val="Sansinterligne"/>
        <w:rPr>
          <w:kern w:val="0"/>
          <w:lang w:val="en-US" w:eastAsia="fr-FR"/>
        </w:rPr>
      </w:pPr>
    </w:p>
    <w:p w14:paraId="41F02AC1" w14:textId="77777777" w:rsidR="0047742F" w:rsidRPr="0047742F" w:rsidRDefault="0047742F" w:rsidP="0047742F">
      <w:pPr>
        <w:pStyle w:val="Sansinterligne"/>
        <w:rPr>
          <w:b/>
          <w:bCs/>
          <w:kern w:val="0"/>
          <w:sz w:val="36"/>
          <w:szCs w:val="36"/>
          <w:bdr w:val="none" w:sz="0" w:space="0" w:color="auto" w:frame="1"/>
          <w:lang w:val="en-US" w:eastAsia="fr-FR"/>
        </w:rPr>
      </w:pPr>
      <w:r w:rsidRPr="0047742F">
        <w:rPr>
          <w:b/>
          <w:bCs/>
          <w:kern w:val="0"/>
          <w:sz w:val="36"/>
          <w:szCs w:val="36"/>
          <w:bdr w:val="none" w:sz="0" w:space="0" w:color="auto" w:frame="1"/>
          <w:lang w:val="en-US" w:eastAsia="fr-FR"/>
        </w:rPr>
        <w:t>Performance certification by a trusted third party, such as a chartered accountant or statutory auditor</w:t>
      </w:r>
    </w:p>
    <w:p w14:paraId="67436128" w14:textId="77777777" w:rsidR="0047742F" w:rsidRPr="0047742F" w:rsidRDefault="0047742F" w:rsidP="0047742F">
      <w:pPr>
        <w:pStyle w:val="Sansinterligne"/>
        <w:rPr>
          <w:kern w:val="0"/>
          <w:lang w:val="en-US" w:eastAsia="fr-FR"/>
        </w:rPr>
      </w:pPr>
    </w:p>
    <w:p w14:paraId="35A510DF" w14:textId="77777777" w:rsidR="0047742F" w:rsidRPr="0047742F" w:rsidRDefault="0047742F" w:rsidP="0047742F">
      <w:pPr>
        <w:pStyle w:val="Sansinterligne"/>
        <w:rPr>
          <w:kern w:val="0"/>
          <w:lang w:val="en-US" w:eastAsia="fr-FR"/>
        </w:rPr>
      </w:pPr>
      <w:r w:rsidRPr="0047742F">
        <w:rPr>
          <w:kern w:val="0"/>
          <w:lang w:val="en-US" w:eastAsia="fr-FR"/>
        </w:rPr>
        <w:t xml:space="preserve">This is made much easier by compliance with accounting principles and the use of the </w:t>
      </w:r>
      <w:proofErr w:type="gramStart"/>
      <w:r w:rsidRPr="0047742F">
        <w:rPr>
          <w:kern w:val="0"/>
          <w:lang w:val="en-US" w:eastAsia="fr-FR"/>
        </w:rPr>
        <w:t>calculator :</w:t>
      </w:r>
      <w:proofErr w:type="gramEnd"/>
      <w:r w:rsidRPr="0047742F">
        <w:rPr>
          <w:kern w:val="0"/>
          <w:lang w:val="en-US" w:eastAsia="fr-FR"/>
        </w:rPr>
        <w:t xml:space="preserve"> some of the information needed by the trusted third party is provided by the summary that the accountant can have sent to him at the end of the entries on the calculator.</w:t>
      </w:r>
    </w:p>
    <w:p w14:paraId="1884FDED" w14:textId="77777777" w:rsidR="0047742F" w:rsidRPr="0047742F" w:rsidRDefault="0047742F" w:rsidP="0047742F">
      <w:pPr>
        <w:pStyle w:val="Sansinterligne"/>
        <w:rPr>
          <w:kern w:val="0"/>
          <w:lang w:val="en-US" w:eastAsia="fr-FR"/>
        </w:rPr>
      </w:pPr>
      <w:r w:rsidRPr="0047742F">
        <w:rPr>
          <w:kern w:val="0"/>
          <w:lang w:val="en-US" w:eastAsia="fr-FR"/>
        </w:rPr>
        <w:t>The verification points are as follows (to be applied to each activity if the company has cost accounting).</w:t>
      </w:r>
    </w:p>
    <w:p w14:paraId="410E2871" w14:textId="77777777" w:rsidR="0047742F" w:rsidRPr="0047742F" w:rsidRDefault="0047742F" w:rsidP="0047742F">
      <w:pPr>
        <w:pStyle w:val="Sansinterligne"/>
        <w:rPr>
          <w:kern w:val="0"/>
          <w:lang w:val="en-US" w:eastAsia="fr-FR"/>
        </w:rPr>
      </w:pPr>
      <w:r w:rsidRPr="0047742F">
        <w:rPr>
          <w:kern w:val="0"/>
          <w:lang w:val="en-US" w:eastAsia="fr-FR"/>
        </w:rPr>
        <w:t>– Run the calculator again for the same year with the same data.</w:t>
      </w:r>
    </w:p>
    <w:p w14:paraId="57324B7E" w14:textId="77777777" w:rsidR="0047742F" w:rsidRPr="0047742F" w:rsidRDefault="0047742F" w:rsidP="0047742F">
      <w:pPr>
        <w:pStyle w:val="Sansinterligne"/>
        <w:rPr>
          <w:kern w:val="0"/>
          <w:lang w:val="en-US" w:eastAsia="fr-FR"/>
        </w:rPr>
      </w:pPr>
      <w:r w:rsidRPr="0047742F">
        <w:rPr>
          <w:kern w:val="0"/>
          <w:lang w:val="en-US" w:eastAsia="fr-FR"/>
        </w:rPr>
        <w:t>– If there is a carbon-based cost accounting system: check that its keys are the same as those for monetary accounting.</w:t>
      </w:r>
    </w:p>
    <w:p w14:paraId="3F8715D0" w14:textId="77777777" w:rsidR="0047742F" w:rsidRPr="0047742F" w:rsidRDefault="0047742F" w:rsidP="0047742F">
      <w:pPr>
        <w:pStyle w:val="Sansinterligne"/>
        <w:rPr>
          <w:kern w:val="0"/>
          <w:lang w:val="en-US" w:eastAsia="fr-FR"/>
        </w:rPr>
      </w:pPr>
      <w:r w:rsidRPr="0047742F">
        <w:rPr>
          <w:kern w:val="0"/>
          <w:lang w:val="en-US" w:eastAsia="fr-FR"/>
        </w:rPr>
        <w:t>– If you use carbon-based commitment accounting, check that the rules are the same as or faster than those for cash.</w:t>
      </w:r>
    </w:p>
    <w:p w14:paraId="3C5C9BC3" w14:textId="77777777" w:rsidR="0047742F" w:rsidRDefault="0047742F" w:rsidP="0047742F">
      <w:pPr>
        <w:pStyle w:val="Sansinterligne"/>
        <w:rPr>
          <w:kern w:val="0"/>
          <w:lang w:val="en-US" w:eastAsia="fr-FR"/>
        </w:rPr>
      </w:pPr>
      <w:r w:rsidRPr="0047742F">
        <w:rPr>
          <w:kern w:val="0"/>
          <w:lang w:val="en-US" w:eastAsia="fr-FR"/>
        </w:rPr>
        <w:t>– The audit of the completeness of invoice recording and reconciliation is carried out in the same way as for the monetary audit.</w:t>
      </w:r>
    </w:p>
    <w:p w14:paraId="47C4C4FC" w14:textId="77777777" w:rsidR="0047742F" w:rsidRPr="0047742F" w:rsidRDefault="0047742F" w:rsidP="0047742F">
      <w:pPr>
        <w:pStyle w:val="Sansinterligne"/>
        <w:rPr>
          <w:kern w:val="0"/>
          <w:lang w:val="en-US" w:eastAsia="fr-FR"/>
        </w:rPr>
      </w:pPr>
    </w:p>
    <w:p w14:paraId="47D06174" w14:textId="77777777" w:rsidR="0047742F" w:rsidRPr="0047742F" w:rsidRDefault="0047742F" w:rsidP="0047742F">
      <w:pPr>
        <w:pStyle w:val="Sansinterligne"/>
        <w:rPr>
          <w:b/>
          <w:bCs/>
          <w:kern w:val="0"/>
          <w:sz w:val="36"/>
          <w:szCs w:val="36"/>
          <w:bdr w:val="none" w:sz="0" w:space="0" w:color="auto" w:frame="1"/>
          <w:lang w:val="en-US" w:eastAsia="fr-FR"/>
        </w:rPr>
      </w:pPr>
      <w:r w:rsidRPr="0047742F">
        <w:rPr>
          <w:b/>
          <w:bCs/>
          <w:kern w:val="0"/>
          <w:sz w:val="36"/>
          <w:szCs w:val="36"/>
          <w:bdr w:val="none" w:sz="0" w:space="0" w:color="auto" w:frame="1"/>
          <w:lang w:val="en-US" w:eastAsia="fr-FR"/>
        </w:rPr>
        <w:t xml:space="preserve">Special cases of </w:t>
      </w:r>
      <w:proofErr w:type="spellStart"/>
      <w:r w:rsidRPr="0047742F">
        <w:rPr>
          <w:b/>
          <w:bCs/>
          <w:kern w:val="0"/>
          <w:sz w:val="36"/>
          <w:szCs w:val="36"/>
          <w:bdr w:val="none" w:sz="0" w:space="0" w:color="auto" w:frame="1"/>
          <w:lang w:val="en-US" w:eastAsia="fr-FR"/>
        </w:rPr>
        <w:t>decarbonisation</w:t>
      </w:r>
      <w:proofErr w:type="spellEnd"/>
      <w:r w:rsidRPr="0047742F">
        <w:rPr>
          <w:b/>
          <w:bCs/>
          <w:kern w:val="0"/>
          <w:sz w:val="36"/>
          <w:szCs w:val="36"/>
          <w:bdr w:val="none" w:sz="0" w:space="0" w:color="auto" w:frame="1"/>
          <w:lang w:val="en-US" w:eastAsia="fr-FR"/>
        </w:rPr>
        <w:t xml:space="preserve"> measure</w:t>
      </w:r>
    </w:p>
    <w:p w14:paraId="59CAD6F7" w14:textId="77777777" w:rsidR="0047742F" w:rsidRPr="0047742F" w:rsidRDefault="0047742F" w:rsidP="0047742F">
      <w:pPr>
        <w:pStyle w:val="Sansinterligne"/>
        <w:rPr>
          <w:kern w:val="0"/>
          <w:lang w:val="en-US" w:eastAsia="fr-FR"/>
        </w:rPr>
      </w:pPr>
    </w:p>
    <w:p w14:paraId="20378246" w14:textId="77777777" w:rsidR="0047742F" w:rsidRPr="0047742F" w:rsidRDefault="0047742F" w:rsidP="0047742F">
      <w:pPr>
        <w:pStyle w:val="Sansinterligne"/>
        <w:rPr>
          <w:b/>
          <w:bCs/>
          <w:kern w:val="0"/>
          <w:lang w:val="en-US" w:eastAsia="fr-FR"/>
        </w:rPr>
      </w:pPr>
      <w:r w:rsidRPr="0047742F">
        <w:rPr>
          <w:b/>
          <w:bCs/>
          <w:kern w:val="0"/>
          <w:bdr w:val="none" w:sz="0" w:space="0" w:color="auto" w:frame="1"/>
          <w:lang w:val="en-US" w:eastAsia="fr-FR"/>
        </w:rPr>
        <w:t>– Consideration of avoided carbons (or “scope 4”)</w:t>
      </w:r>
    </w:p>
    <w:p w14:paraId="0C8D76D3" w14:textId="77777777" w:rsidR="0047742F" w:rsidRPr="0047742F" w:rsidRDefault="0047742F" w:rsidP="0047742F">
      <w:pPr>
        <w:pStyle w:val="Sansinterligne"/>
        <w:rPr>
          <w:kern w:val="0"/>
          <w:lang w:val="en-US" w:eastAsia="fr-FR"/>
        </w:rPr>
      </w:pPr>
      <w:r w:rsidRPr="0047742F">
        <w:rPr>
          <w:kern w:val="0"/>
          <w:lang w:val="en-US" w:eastAsia="fr-FR"/>
        </w:rPr>
        <w:t xml:space="preserve">The supplier of a carbon-saving good or service to its customer (e.g. an environmental consultancy) can sign a commercial agreement with the customer to share its contribution to </w:t>
      </w:r>
      <w:proofErr w:type="spellStart"/>
      <w:r w:rsidRPr="0047742F">
        <w:rPr>
          <w:kern w:val="0"/>
          <w:lang w:val="en-US" w:eastAsia="fr-FR"/>
        </w:rPr>
        <w:t>decarbonisation</w:t>
      </w:r>
      <w:proofErr w:type="spellEnd"/>
      <w:r w:rsidRPr="0047742F">
        <w:rPr>
          <w:kern w:val="0"/>
          <w:lang w:val="en-US" w:eastAsia="fr-FR"/>
        </w:rPr>
        <w:t xml:space="preserve">. If and when the </w:t>
      </w:r>
      <w:proofErr w:type="spellStart"/>
      <w:r w:rsidRPr="0047742F">
        <w:rPr>
          <w:kern w:val="0"/>
          <w:lang w:val="en-US" w:eastAsia="fr-FR"/>
        </w:rPr>
        <w:t>decarbonisation</w:t>
      </w:r>
      <w:proofErr w:type="spellEnd"/>
      <w:r w:rsidRPr="0047742F">
        <w:rPr>
          <w:kern w:val="0"/>
          <w:lang w:val="en-US" w:eastAsia="fr-FR"/>
        </w:rPr>
        <w:t xml:space="preserve"> gain occurs, the agreed weight is transferred from the customer’s annual </w:t>
      </w:r>
      <w:proofErr w:type="spellStart"/>
      <w:r w:rsidRPr="0047742F">
        <w:rPr>
          <w:kern w:val="0"/>
          <w:lang w:val="en-US" w:eastAsia="fr-FR"/>
        </w:rPr>
        <w:t>decarbonisation</w:t>
      </w:r>
      <w:proofErr w:type="spellEnd"/>
      <w:r w:rsidRPr="0047742F">
        <w:rPr>
          <w:kern w:val="0"/>
          <w:lang w:val="en-US" w:eastAsia="fr-FR"/>
        </w:rPr>
        <w:t xml:space="preserve"> contribution to that of the </w:t>
      </w:r>
      <w:proofErr w:type="gramStart"/>
      <w:r w:rsidRPr="0047742F">
        <w:rPr>
          <w:kern w:val="0"/>
          <w:lang w:val="en-US" w:eastAsia="fr-FR"/>
        </w:rPr>
        <w:t>supplier, and</w:t>
      </w:r>
      <w:proofErr w:type="gramEnd"/>
      <w:r w:rsidRPr="0047742F">
        <w:rPr>
          <w:kern w:val="0"/>
          <w:lang w:val="en-US" w:eastAsia="fr-FR"/>
        </w:rPr>
        <w:t xml:space="preserve"> recorded by both accountants.</w:t>
      </w:r>
    </w:p>
    <w:p w14:paraId="2A142364" w14:textId="77777777" w:rsidR="0047742F" w:rsidRPr="0047742F" w:rsidRDefault="0047742F" w:rsidP="0047742F">
      <w:pPr>
        <w:pStyle w:val="Sansinterligne"/>
        <w:rPr>
          <w:b/>
          <w:bCs/>
          <w:kern w:val="0"/>
          <w:lang w:val="en-US" w:eastAsia="fr-FR"/>
        </w:rPr>
      </w:pPr>
      <w:r w:rsidRPr="0047742F">
        <w:rPr>
          <w:b/>
          <w:bCs/>
          <w:kern w:val="0"/>
          <w:bdr w:val="none" w:sz="0" w:space="0" w:color="auto" w:frame="1"/>
          <w:lang w:val="en-US" w:eastAsia="fr-FR"/>
        </w:rPr>
        <w:t>– Consolidated environmental performance</w:t>
      </w:r>
    </w:p>
    <w:p w14:paraId="619E89A5" w14:textId="77777777" w:rsidR="0047742F" w:rsidRPr="0047742F" w:rsidRDefault="0047742F" w:rsidP="0047742F">
      <w:pPr>
        <w:pStyle w:val="Sansinterligne"/>
        <w:rPr>
          <w:kern w:val="0"/>
          <w:lang w:val="en-US" w:eastAsia="fr-FR"/>
        </w:rPr>
      </w:pPr>
      <w:r w:rsidRPr="0047742F">
        <w:rPr>
          <w:kern w:val="0"/>
          <w:lang w:val="en-US" w:eastAsia="fr-FR"/>
        </w:rPr>
        <w:t xml:space="preserve">If the company publishes consolidated accounts, it can track its consolidated financial contribution to </w:t>
      </w:r>
      <w:proofErr w:type="spellStart"/>
      <w:r w:rsidRPr="0047742F">
        <w:rPr>
          <w:kern w:val="0"/>
          <w:lang w:val="en-US" w:eastAsia="fr-FR"/>
        </w:rPr>
        <w:t>decarbonisation</w:t>
      </w:r>
      <w:proofErr w:type="spellEnd"/>
      <w:r w:rsidRPr="0047742F">
        <w:rPr>
          <w:kern w:val="0"/>
          <w:lang w:val="en-US" w:eastAsia="fr-FR"/>
        </w:rPr>
        <w:t xml:space="preserve">, by adding to the </w:t>
      </w:r>
      <w:proofErr w:type="spellStart"/>
      <w:r w:rsidRPr="0047742F">
        <w:rPr>
          <w:kern w:val="0"/>
          <w:lang w:val="en-US" w:eastAsia="fr-FR"/>
        </w:rPr>
        <w:t>decarbonisation</w:t>
      </w:r>
      <w:proofErr w:type="spellEnd"/>
      <w:r w:rsidRPr="0047742F">
        <w:rPr>
          <w:kern w:val="0"/>
          <w:lang w:val="en-US" w:eastAsia="fr-FR"/>
        </w:rPr>
        <w:t xml:space="preserve"> of its corporate accounts the </w:t>
      </w:r>
      <w:proofErr w:type="spellStart"/>
      <w:r w:rsidRPr="0047742F">
        <w:rPr>
          <w:kern w:val="0"/>
          <w:lang w:val="en-US" w:eastAsia="fr-FR"/>
        </w:rPr>
        <w:t>decarbonisation</w:t>
      </w:r>
      <w:proofErr w:type="spellEnd"/>
      <w:r w:rsidRPr="0047742F">
        <w:rPr>
          <w:kern w:val="0"/>
          <w:lang w:val="en-US" w:eastAsia="fr-FR"/>
        </w:rPr>
        <w:t xml:space="preserve"> of consolidated companies, pro rata to ownership.</w:t>
      </w:r>
    </w:p>
    <w:p w14:paraId="1A136260" w14:textId="77777777" w:rsidR="0047742F" w:rsidRPr="0047742F" w:rsidRDefault="0047742F" w:rsidP="0047742F">
      <w:pPr>
        <w:pStyle w:val="Sansinterligne"/>
        <w:rPr>
          <w:b/>
          <w:bCs/>
          <w:kern w:val="0"/>
          <w:lang w:val="en-US" w:eastAsia="fr-FR"/>
        </w:rPr>
      </w:pPr>
      <w:r w:rsidRPr="0047742F">
        <w:rPr>
          <w:b/>
          <w:bCs/>
          <w:kern w:val="0"/>
          <w:bdr w:val="none" w:sz="0" w:space="0" w:color="auto" w:frame="1"/>
          <w:lang w:val="en-US" w:eastAsia="fr-FR"/>
        </w:rPr>
        <w:t>– Environmental performance of a financial portfolio</w:t>
      </w:r>
    </w:p>
    <w:p w14:paraId="74B1B1C6" w14:textId="77777777" w:rsidR="0047742F" w:rsidRPr="0047742F" w:rsidRDefault="0047742F" w:rsidP="0047742F">
      <w:pPr>
        <w:pStyle w:val="Sansinterligne"/>
        <w:rPr>
          <w:kern w:val="0"/>
          <w:lang w:val="en-US" w:eastAsia="fr-FR"/>
        </w:rPr>
      </w:pPr>
      <w:r w:rsidRPr="0047742F">
        <w:rPr>
          <w:kern w:val="0"/>
          <w:lang w:val="en-US" w:eastAsia="fr-FR"/>
        </w:rPr>
        <w:t xml:space="preserve">A company’s contribution to </w:t>
      </w:r>
      <w:proofErr w:type="spellStart"/>
      <w:r w:rsidRPr="0047742F">
        <w:rPr>
          <w:kern w:val="0"/>
          <w:lang w:val="en-US" w:eastAsia="fr-FR"/>
        </w:rPr>
        <w:t>decarbonisation</w:t>
      </w:r>
      <w:proofErr w:type="spellEnd"/>
      <w:r w:rsidRPr="0047742F">
        <w:rPr>
          <w:kern w:val="0"/>
          <w:lang w:val="en-US" w:eastAsia="fr-FR"/>
        </w:rPr>
        <w:t xml:space="preserve"> is its financial contribution to the </w:t>
      </w:r>
      <w:proofErr w:type="spellStart"/>
      <w:r w:rsidRPr="0047742F">
        <w:rPr>
          <w:kern w:val="0"/>
          <w:lang w:val="en-US" w:eastAsia="fr-FR"/>
        </w:rPr>
        <w:t>decarbonisation</w:t>
      </w:r>
      <w:proofErr w:type="spellEnd"/>
      <w:r w:rsidRPr="0047742F">
        <w:rPr>
          <w:kern w:val="0"/>
          <w:lang w:val="en-US" w:eastAsia="fr-FR"/>
        </w:rPr>
        <w:t xml:space="preserve"> of its financing. A bank thus measures the financial contribution of its equity portfolios (as above) </w:t>
      </w:r>
      <w:proofErr w:type="gramStart"/>
      <w:r w:rsidRPr="0047742F">
        <w:rPr>
          <w:kern w:val="0"/>
          <w:lang w:val="en-US" w:eastAsia="fr-FR"/>
        </w:rPr>
        <w:t>and also</w:t>
      </w:r>
      <w:proofErr w:type="gramEnd"/>
      <w:r w:rsidRPr="0047742F">
        <w:rPr>
          <w:kern w:val="0"/>
          <w:lang w:val="en-US" w:eastAsia="fr-FR"/>
        </w:rPr>
        <w:t xml:space="preserve"> of its loan portfolios: the cumulative </w:t>
      </w:r>
      <w:proofErr w:type="spellStart"/>
      <w:r w:rsidRPr="0047742F">
        <w:rPr>
          <w:kern w:val="0"/>
          <w:lang w:val="en-US" w:eastAsia="fr-FR"/>
        </w:rPr>
        <w:t>decarbonisation</w:t>
      </w:r>
      <w:proofErr w:type="spellEnd"/>
      <w:r w:rsidRPr="0047742F">
        <w:rPr>
          <w:kern w:val="0"/>
          <w:lang w:val="en-US" w:eastAsia="fr-FR"/>
        </w:rPr>
        <w:t xml:space="preserve"> of the companies financed in proportion to the loans in their respective financing.</w:t>
      </w:r>
    </w:p>
    <w:p w14:paraId="4CDB06E2" w14:textId="77777777" w:rsidR="0047742F" w:rsidRDefault="0047742F" w:rsidP="0047742F">
      <w:pPr>
        <w:pStyle w:val="Sansinterligne"/>
        <w:rPr>
          <w:kern w:val="0"/>
          <w:lang w:val="en-US" w:eastAsia="fr-FR"/>
        </w:rPr>
      </w:pPr>
    </w:p>
    <w:p w14:paraId="5FFDDBE9" w14:textId="55A59892" w:rsidR="0047742F" w:rsidRDefault="0047742F" w:rsidP="0047742F">
      <w:pPr>
        <w:pStyle w:val="Sansinterligne"/>
        <w:rPr>
          <w:kern w:val="0"/>
          <w:lang w:val="en-US" w:eastAsia="fr-FR"/>
        </w:rPr>
      </w:pPr>
      <w:r w:rsidRPr="0047742F">
        <w:rPr>
          <w:kern w:val="0"/>
          <w:lang w:val="en-US" w:eastAsia="fr-FR"/>
        </w:rPr>
        <w:t>A financial contribution cannot be added to a company contribution, as this would introduce double counting. For the same reasons, contributions to equity investments and loans should be strictly separated.</w:t>
      </w:r>
    </w:p>
    <w:p w14:paraId="715CCD57" w14:textId="77777777" w:rsidR="0047742F" w:rsidRPr="0047742F" w:rsidRDefault="0047742F" w:rsidP="0047742F">
      <w:pPr>
        <w:pStyle w:val="Sansinterligne"/>
        <w:rPr>
          <w:kern w:val="0"/>
          <w:lang w:val="en-US" w:eastAsia="fr-FR"/>
        </w:rPr>
      </w:pPr>
    </w:p>
    <w:p w14:paraId="5B2C237A" w14:textId="77777777" w:rsidR="0047742F" w:rsidRDefault="0047742F" w:rsidP="0047742F">
      <w:pPr>
        <w:pStyle w:val="Sansinterligne"/>
        <w:rPr>
          <w:b/>
          <w:bCs/>
          <w:kern w:val="0"/>
          <w:sz w:val="36"/>
          <w:szCs w:val="36"/>
          <w:bdr w:val="none" w:sz="0" w:space="0" w:color="auto" w:frame="1"/>
          <w:lang w:val="en-US" w:eastAsia="fr-FR"/>
        </w:rPr>
      </w:pPr>
    </w:p>
    <w:p w14:paraId="28EA518A" w14:textId="44931F7F" w:rsidR="0047742F" w:rsidRPr="0047742F" w:rsidRDefault="0047742F" w:rsidP="0047742F">
      <w:pPr>
        <w:pStyle w:val="Sansinterligne"/>
        <w:rPr>
          <w:b/>
          <w:bCs/>
          <w:kern w:val="0"/>
          <w:sz w:val="36"/>
          <w:szCs w:val="36"/>
          <w:bdr w:val="none" w:sz="0" w:space="0" w:color="auto" w:frame="1"/>
          <w:lang w:val="en-US" w:eastAsia="fr-FR"/>
        </w:rPr>
      </w:pPr>
      <w:r w:rsidRPr="0047742F">
        <w:rPr>
          <w:b/>
          <w:bCs/>
          <w:kern w:val="0"/>
          <w:sz w:val="36"/>
          <w:szCs w:val="36"/>
          <w:bdr w:val="none" w:sz="0" w:space="0" w:color="auto" w:frame="1"/>
          <w:lang w:val="en-US" w:eastAsia="fr-FR"/>
        </w:rPr>
        <w:t>Steering the company’s budget and carbon trajectory</w:t>
      </w:r>
    </w:p>
    <w:p w14:paraId="452DBEFC" w14:textId="77777777" w:rsidR="0047742F" w:rsidRPr="0047742F" w:rsidRDefault="0047742F" w:rsidP="0047742F">
      <w:pPr>
        <w:pStyle w:val="Sansinterligne"/>
        <w:rPr>
          <w:kern w:val="0"/>
          <w:lang w:val="en-US" w:eastAsia="fr-FR"/>
        </w:rPr>
      </w:pPr>
    </w:p>
    <w:p w14:paraId="4046D115" w14:textId="77777777" w:rsidR="0047742F" w:rsidRPr="0047742F" w:rsidRDefault="0047742F" w:rsidP="0047742F">
      <w:pPr>
        <w:pStyle w:val="Sansinterligne"/>
        <w:rPr>
          <w:kern w:val="0"/>
          <w:lang w:val="en-US" w:eastAsia="fr-FR"/>
        </w:rPr>
      </w:pPr>
      <w:r w:rsidRPr="0047742F">
        <w:rPr>
          <w:kern w:val="0"/>
          <w:lang w:val="en-US" w:eastAsia="fr-FR"/>
        </w:rPr>
        <w:t xml:space="preserve">The tutorial and calculator can be used to project carbon </w:t>
      </w:r>
      <w:proofErr w:type="gramStart"/>
      <w:r w:rsidRPr="0047742F">
        <w:rPr>
          <w:kern w:val="0"/>
          <w:lang w:val="en-US" w:eastAsia="fr-FR"/>
        </w:rPr>
        <w:t>measures :</w:t>
      </w:r>
      <w:proofErr w:type="gramEnd"/>
      <w:r w:rsidRPr="0047742F">
        <w:rPr>
          <w:kern w:val="0"/>
          <w:lang w:val="en-US" w:eastAsia="fr-FR"/>
        </w:rPr>
        <w:t xml:space="preserve"> from the company’s budget (to establish its carbon budget); or from its business plan (to establish its carbon trajectory).</w:t>
      </w:r>
    </w:p>
    <w:p w14:paraId="0E9196A0" w14:textId="77777777" w:rsidR="0047742F" w:rsidRPr="0047742F" w:rsidRDefault="0047742F">
      <w:pPr>
        <w:rPr>
          <w:lang w:val="en-US"/>
        </w:rPr>
      </w:pPr>
    </w:p>
    <w:sectPr w:rsidR="0047742F" w:rsidRPr="00477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75"/>
    <w:rsid w:val="001050C0"/>
    <w:rsid w:val="0047742F"/>
    <w:rsid w:val="0075132D"/>
    <w:rsid w:val="00827675"/>
    <w:rsid w:val="00874C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603C"/>
  <w15:chartTrackingRefBased/>
  <w15:docId w15:val="{0FA2086F-ACE6-4372-BD51-6DD66345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77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742F"/>
    <w:rPr>
      <w:rFonts w:ascii="Times New Roman" w:eastAsia="Times New Roman" w:hAnsi="Times New Roman" w:cs="Times New Roman"/>
      <w:b/>
      <w:bCs/>
      <w:kern w:val="36"/>
      <w:sz w:val="48"/>
      <w:szCs w:val="48"/>
      <w:lang w:eastAsia="fr-FR"/>
      <w14:ligatures w14:val="none"/>
    </w:rPr>
  </w:style>
  <w:style w:type="character" w:styleId="lev">
    <w:name w:val="Strong"/>
    <w:basedOn w:val="Policepardfaut"/>
    <w:uiPriority w:val="22"/>
    <w:qFormat/>
    <w:rsid w:val="0047742F"/>
    <w:rPr>
      <w:b/>
      <w:bCs/>
    </w:rPr>
  </w:style>
  <w:style w:type="paragraph" w:styleId="NormalWeb">
    <w:name w:val="Normal (Web)"/>
    <w:basedOn w:val="Normal"/>
    <w:uiPriority w:val="99"/>
    <w:semiHidden/>
    <w:unhideWhenUsed/>
    <w:rsid w:val="0047742F"/>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47742F"/>
    <w:rPr>
      <w:color w:val="0000FF"/>
      <w:u w:val="single"/>
    </w:rPr>
  </w:style>
  <w:style w:type="character" w:styleId="Accentuation">
    <w:name w:val="Emphasis"/>
    <w:basedOn w:val="Policepardfaut"/>
    <w:uiPriority w:val="20"/>
    <w:qFormat/>
    <w:rsid w:val="0047742F"/>
    <w:rPr>
      <w:i/>
      <w:iCs/>
    </w:rPr>
  </w:style>
  <w:style w:type="paragraph" w:styleId="Sansinterligne">
    <w:name w:val="No Spacing"/>
    <w:uiPriority w:val="1"/>
    <w:qFormat/>
    <w:rsid w:val="004774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317437">
      <w:bodyDiv w:val="1"/>
      <w:marLeft w:val="0"/>
      <w:marRight w:val="0"/>
      <w:marTop w:val="0"/>
      <w:marBottom w:val="0"/>
      <w:divBdr>
        <w:top w:val="none" w:sz="0" w:space="0" w:color="auto"/>
        <w:left w:val="none" w:sz="0" w:space="0" w:color="auto"/>
        <w:bottom w:val="none" w:sz="0" w:space="0" w:color="auto"/>
        <w:right w:val="none" w:sz="0" w:space="0" w:color="auto"/>
      </w:divBdr>
      <w:divsChild>
        <w:div w:id="709064215">
          <w:marLeft w:val="0"/>
          <w:marRight w:val="0"/>
          <w:marTop w:val="0"/>
          <w:marBottom w:val="0"/>
          <w:divBdr>
            <w:top w:val="none" w:sz="0" w:space="0" w:color="auto"/>
            <w:left w:val="none" w:sz="0" w:space="0" w:color="auto"/>
            <w:bottom w:val="none" w:sz="0" w:space="0" w:color="auto"/>
            <w:right w:val="none" w:sz="0" w:space="0" w:color="auto"/>
          </w:divBdr>
          <w:divsChild>
            <w:div w:id="986279651">
              <w:marLeft w:val="0"/>
              <w:marRight w:val="0"/>
              <w:marTop w:val="100"/>
              <w:marBottom w:val="100"/>
              <w:divBdr>
                <w:top w:val="none" w:sz="0" w:space="0" w:color="auto"/>
                <w:left w:val="none" w:sz="0" w:space="0" w:color="auto"/>
                <w:bottom w:val="none" w:sz="0" w:space="0" w:color="auto"/>
                <w:right w:val="none" w:sz="0" w:space="0" w:color="auto"/>
              </w:divBdr>
              <w:divsChild>
                <w:div w:id="1153333388">
                  <w:marLeft w:val="0"/>
                  <w:marRight w:val="0"/>
                  <w:marTop w:val="0"/>
                  <w:marBottom w:val="0"/>
                  <w:divBdr>
                    <w:top w:val="none" w:sz="0" w:space="0" w:color="auto"/>
                    <w:left w:val="none" w:sz="0" w:space="0" w:color="auto"/>
                    <w:bottom w:val="none" w:sz="0" w:space="0" w:color="auto"/>
                    <w:right w:val="none" w:sz="0" w:space="0" w:color="auto"/>
                  </w:divBdr>
                  <w:divsChild>
                    <w:div w:id="208341007">
                      <w:marLeft w:val="0"/>
                      <w:marRight w:val="0"/>
                      <w:marTop w:val="0"/>
                      <w:marBottom w:val="445"/>
                      <w:divBdr>
                        <w:top w:val="none" w:sz="0" w:space="0" w:color="auto"/>
                        <w:left w:val="none" w:sz="0" w:space="0" w:color="auto"/>
                        <w:bottom w:val="none" w:sz="0" w:space="0" w:color="auto"/>
                        <w:right w:val="none" w:sz="0" w:space="0" w:color="auto"/>
                      </w:divBdr>
                      <w:divsChild>
                        <w:div w:id="7077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21215">
          <w:marLeft w:val="0"/>
          <w:marRight w:val="0"/>
          <w:marTop w:val="0"/>
          <w:marBottom w:val="0"/>
          <w:divBdr>
            <w:top w:val="none" w:sz="0" w:space="0" w:color="auto"/>
            <w:left w:val="none" w:sz="0" w:space="0" w:color="auto"/>
            <w:bottom w:val="none" w:sz="0" w:space="0" w:color="auto"/>
            <w:right w:val="none" w:sz="0" w:space="0" w:color="auto"/>
          </w:divBdr>
          <w:divsChild>
            <w:div w:id="817527988">
              <w:marLeft w:val="0"/>
              <w:marRight w:val="0"/>
              <w:marTop w:val="100"/>
              <w:marBottom w:val="100"/>
              <w:divBdr>
                <w:top w:val="none" w:sz="0" w:space="0" w:color="auto"/>
                <w:left w:val="none" w:sz="0" w:space="0" w:color="auto"/>
                <w:bottom w:val="none" w:sz="0" w:space="0" w:color="auto"/>
                <w:right w:val="none" w:sz="0" w:space="0" w:color="auto"/>
              </w:divBdr>
              <w:divsChild>
                <w:div w:id="822502388">
                  <w:marLeft w:val="0"/>
                  <w:marRight w:val="0"/>
                  <w:marTop w:val="0"/>
                  <w:marBottom w:val="0"/>
                  <w:divBdr>
                    <w:top w:val="none" w:sz="0" w:space="0" w:color="auto"/>
                    <w:left w:val="none" w:sz="0" w:space="0" w:color="auto"/>
                    <w:bottom w:val="none" w:sz="0" w:space="0" w:color="auto"/>
                    <w:right w:val="none" w:sz="0" w:space="0" w:color="auto"/>
                  </w:divBdr>
                  <w:divsChild>
                    <w:div w:id="1949239842">
                      <w:marLeft w:val="0"/>
                      <w:marRight w:val="0"/>
                      <w:marTop w:val="0"/>
                      <w:marBottom w:val="445"/>
                      <w:divBdr>
                        <w:top w:val="none" w:sz="0" w:space="0" w:color="auto"/>
                        <w:left w:val="none" w:sz="0" w:space="0" w:color="auto"/>
                        <w:bottom w:val="none" w:sz="0" w:space="0" w:color="auto"/>
                        <w:right w:val="none" w:sz="0" w:space="0" w:color="auto"/>
                      </w:divBdr>
                      <w:divsChild>
                        <w:div w:id="2005276350">
                          <w:marLeft w:val="0"/>
                          <w:marRight w:val="0"/>
                          <w:marTop w:val="0"/>
                          <w:marBottom w:val="0"/>
                          <w:divBdr>
                            <w:top w:val="none" w:sz="0" w:space="0" w:color="auto"/>
                            <w:left w:val="none" w:sz="0" w:space="0" w:color="auto"/>
                            <w:bottom w:val="none" w:sz="0" w:space="0" w:color="auto"/>
                            <w:right w:val="none" w:sz="0" w:space="0" w:color="auto"/>
                          </w:divBdr>
                        </w:div>
                      </w:divsChild>
                    </w:div>
                    <w:div w:id="14644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6163">
          <w:marLeft w:val="0"/>
          <w:marRight w:val="0"/>
          <w:marTop w:val="0"/>
          <w:marBottom w:val="0"/>
          <w:divBdr>
            <w:top w:val="none" w:sz="0" w:space="0" w:color="auto"/>
            <w:left w:val="none" w:sz="0" w:space="0" w:color="auto"/>
            <w:bottom w:val="none" w:sz="0" w:space="0" w:color="auto"/>
            <w:right w:val="none" w:sz="0" w:space="0" w:color="auto"/>
          </w:divBdr>
          <w:divsChild>
            <w:div w:id="939529407">
              <w:marLeft w:val="0"/>
              <w:marRight w:val="0"/>
              <w:marTop w:val="100"/>
              <w:marBottom w:val="100"/>
              <w:divBdr>
                <w:top w:val="none" w:sz="0" w:space="0" w:color="auto"/>
                <w:left w:val="none" w:sz="0" w:space="0" w:color="auto"/>
                <w:bottom w:val="none" w:sz="0" w:space="0" w:color="auto"/>
                <w:right w:val="none" w:sz="0" w:space="0" w:color="auto"/>
              </w:divBdr>
              <w:divsChild>
                <w:div w:id="597520914">
                  <w:marLeft w:val="0"/>
                  <w:marRight w:val="0"/>
                  <w:marTop w:val="0"/>
                  <w:marBottom w:val="0"/>
                  <w:divBdr>
                    <w:top w:val="none" w:sz="0" w:space="0" w:color="auto"/>
                    <w:left w:val="none" w:sz="0" w:space="0" w:color="auto"/>
                    <w:bottom w:val="none" w:sz="0" w:space="0" w:color="auto"/>
                    <w:right w:val="none" w:sz="0" w:space="0" w:color="auto"/>
                  </w:divBdr>
                  <w:divsChild>
                    <w:div w:id="1441758474">
                      <w:marLeft w:val="0"/>
                      <w:marRight w:val="0"/>
                      <w:marTop w:val="0"/>
                      <w:marBottom w:val="445"/>
                      <w:divBdr>
                        <w:top w:val="none" w:sz="0" w:space="0" w:color="auto"/>
                        <w:left w:val="none" w:sz="0" w:space="0" w:color="auto"/>
                        <w:bottom w:val="none" w:sz="0" w:space="0" w:color="auto"/>
                        <w:right w:val="none" w:sz="0" w:space="0" w:color="auto"/>
                      </w:divBdr>
                      <w:divsChild>
                        <w:div w:id="1402363683">
                          <w:marLeft w:val="0"/>
                          <w:marRight w:val="0"/>
                          <w:marTop w:val="0"/>
                          <w:marBottom w:val="0"/>
                          <w:divBdr>
                            <w:top w:val="none" w:sz="0" w:space="0" w:color="auto"/>
                            <w:left w:val="none" w:sz="0" w:space="0" w:color="auto"/>
                            <w:bottom w:val="none" w:sz="0" w:space="0" w:color="auto"/>
                            <w:right w:val="none" w:sz="0" w:space="0" w:color="auto"/>
                          </w:divBdr>
                        </w:div>
                      </w:divsChild>
                    </w:div>
                    <w:div w:id="4393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58738">
          <w:marLeft w:val="0"/>
          <w:marRight w:val="0"/>
          <w:marTop w:val="0"/>
          <w:marBottom w:val="0"/>
          <w:divBdr>
            <w:top w:val="none" w:sz="0" w:space="0" w:color="auto"/>
            <w:left w:val="none" w:sz="0" w:space="0" w:color="auto"/>
            <w:bottom w:val="none" w:sz="0" w:space="0" w:color="auto"/>
            <w:right w:val="none" w:sz="0" w:space="0" w:color="auto"/>
          </w:divBdr>
          <w:divsChild>
            <w:div w:id="1504513924">
              <w:marLeft w:val="0"/>
              <w:marRight w:val="0"/>
              <w:marTop w:val="100"/>
              <w:marBottom w:val="100"/>
              <w:divBdr>
                <w:top w:val="none" w:sz="0" w:space="0" w:color="auto"/>
                <w:left w:val="none" w:sz="0" w:space="0" w:color="auto"/>
                <w:bottom w:val="none" w:sz="0" w:space="0" w:color="auto"/>
                <w:right w:val="none" w:sz="0" w:space="0" w:color="auto"/>
              </w:divBdr>
              <w:divsChild>
                <w:div w:id="830755788">
                  <w:marLeft w:val="0"/>
                  <w:marRight w:val="0"/>
                  <w:marTop w:val="0"/>
                  <w:marBottom w:val="0"/>
                  <w:divBdr>
                    <w:top w:val="none" w:sz="0" w:space="0" w:color="auto"/>
                    <w:left w:val="none" w:sz="0" w:space="0" w:color="auto"/>
                    <w:bottom w:val="none" w:sz="0" w:space="0" w:color="auto"/>
                    <w:right w:val="none" w:sz="0" w:space="0" w:color="auto"/>
                  </w:divBdr>
                  <w:divsChild>
                    <w:div w:id="493372835">
                      <w:marLeft w:val="0"/>
                      <w:marRight w:val="0"/>
                      <w:marTop w:val="0"/>
                      <w:marBottom w:val="445"/>
                      <w:divBdr>
                        <w:top w:val="none" w:sz="0" w:space="0" w:color="auto"/>
                        <w:left w:val="none" w:sz="0" w:space="0" w:color="auto"/>
                        <w:bottom w:val="none" w:sz="0" w:space="0" w:color="auto"/>
                        <w:right w:val="none" w:sz="0" w:space="0" w:color="auto"/>
                      </w:divBdr>
                      <w:divsChild>
                        <w:div w:id="1595288610">
                          <w:marLeft w:val="0"/>
                          <w:marRight w:val="0"/>
                          <w:marTop w:val="0"/>
                          <w:marBottom w:val="0"/>
                          <w:divBdr>
                            <w:top w:val="none" w:sz="0" w:space="0" w:color="auto"/>
                            <w:left w:val="none" w:sz="0" w:space="0" w:color="auto"/>
                            <w:bottom w:val="none" w:sz="0" w:space="0" w:color="auto"/>
                            <w:right w:val="none" w:sz="0" w:space="0" w:color="auto"/>
                          </w:divBdr>
                        </w:div>
                      </w:divsChild>
                    </w:div>
                    <w:div w:id="6601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5632">
          <w:marLeft w:val="0"/>
          <w:marRight w:val="0"/>
          <w:marTop w:val="0"/>
          <w:marBottom w:val="0"/>
          <w:divBdr>
            <w:top w:val="none" w:sz="0" w:space="0" w:color="auto"/>
            <w:left w:val="none" w:sz="0" w:space="0" w:color="auto"/>
            <w:bottom w:val="none" w:sz="0" w:space="0" w:color="auto"/>
            <w:right w:val="none" w:sz="0" w:space="0" w:color="auto"/>
          </w:divBdr>
          <w:divsChild>
            <w:div w:id="1203833703">
              <w:marLeft w:val="0"/>
              <w:marRight w:val="0"/>
              <w:marTop w:val="100"/>
              <w:marBottom w:val="100"/>
              <w:divBdr>
                <w:top w:val="none" w:sz="0" w:space="0" w:color="auto"/>
                <w:left w:val="none" w:sz="0" w:space="0" w:color="auto"/>
                <w:bottom w:val="none" w:sz="0" w:space="0" w:color="auto"/>
                <w:right w:val="none" w:sz="0" w:space="0" w:color="auto"/>
              </w:divBdr>
              <w:divsChild>
                <w:div w:id="386421684">
                  <w:marLeft w:val="0"/>
                  <w:marRight w:val="0"/>
                  <w:marTop w:val="0"/>
                  <w:marBottom w:val="0"/>
                  <w:divBdr>
                    <w:top w:val="none" w:sz="0" w:space="0" w:color="auto"/>
                    <w:left w:val="none" w:sz="0" w:space="0" w:color="auto"/>
                    <w:bottom w:val="none" w:sz="0" w:space="0" w:color="auto"/>
                    <w:right w:val="none" w:sz="0" w:space="0" w:color="auto"/>
                  </w:divBdr>
                  <w:divsChild>
                    <w:div w:id="1036858564">
                      <w:marLeft w:val="0"/>
                      <w:marRight w:val="0"/>
                      <w:marTop w:val="0"/>
                      <w:marBottom w:val="445"/>
                      <w:divBdr>
                        <w:top w:val="none" w:sz="0" w:space="0" w:color="auto"/>
                        <w:left w:val="none" w:sz="0" w:space="0" w:color="auto"/>
                        <w:bottom w:val="none" w:sz="0" w:space="0" w:color="auto"/>
                        <w:right w:val="none" w:sz="0" w:space="0" w:color="auto"/>
                      </w:divBdr>
                      <w:divsChild>
                        <w:div w:id="1972401565">
                          <w:marLeft w:val="0"/>
                          <w:marRight w:val="0"/>
                          <w:marTop w:val="0"/>
                          <w:marBottom w:val="0"/>
                          <w:divBdr>
                            <w:top w:val="none" w:sz="0" w:space="0" w:color="auto"/>
                            <w:left w:val="none" w:sz="0" w:space="0" w:color="auto"/>
                            <w:bottom w:val="none" w:sz="0" w:space="0" w:color="auto"/>
                            <w:right w:val="none" w:sz="0" w:space="0" w:color="auto"/>
                          </w:divBdr>
                        </w:div>
                      </w:divsChild>
                    </w:div>
                    <w:div w:id="15817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6518">
          <w:marLeft w:val="0"/>
          <w:marRight w:val="0"/>
          <w:marTop w:val="0"/>
          <w:marBottom w:val="0"/>
          <w:divBdr>
            <w:top w:val="none" w:sz="0" w:space="0" w:color="auto"/>
            <w:left w:val="none" w:sz="0" w:space="0" w:color="auto"/>
            <w:bottom w:val="none" w:sz="0" w:space="0" w:color="auto"/>
            <w:right w:val="none" w:sz="0" w:space="0" w:color="auto"/>
          </w:divBdr>
          <w:divsChild>
            <w:div w:id="635256761">
              <w:marLeft w:val="0"/>
              <w:marRight w:val="0"/>
              <w:marTop w:val="100"/>
              <w:marBottom w:val="100"/>
              <w:divBdr>
                <w:top w:val="none" w:sz="0" w:space="0" w:color="auto"/>
                <w:left w:val="none" w:sz="0" w:space="0" w:color="auto"/>
                <w:bottom w:val="none" w:sz="0" w:space="0" w:color="auto"/>
                <w:right w:val="none" w:sz="0" w:space="0" w:color="auto"/>
              </w:divBdr>
              <w:divsChild>
                <w:div w:id="1687364982">
                  <w:marLeft w:val="0"/>
                  <w:marRight w:val="0"/>
                  <w:marTop w:val="0"/>
                  <w:marBottom w:val="0"/>
                  <w:divBdr>
                    <w:top w:val="none" w:sz="0" w:space="0" w:color="auto"/>
                    <w:left w:val="none" w:sz="0" w:space="0" w:color="auto"/>
                    <w:bottom w:val="none" w:sz="0" w:space="0" w:color="auto"/>
                    <w:right w:val="none" w:sz="0" w:space="0" w:color="auto"/>
                  </w:divBdr>
                  <w:divsChild>
                    <w:div w:id="984159823">
                      <w:marLeft w:val="0"/>
                      <w:marRight w:val="0"/>
                      <w:marTop w:val="0"/>
                      <w:marBottom w:val="445"/>
                      <w:divBdr>
                        <w:top w:val="none" w:sz="0" w:space="0" w:color="auto"/>
                        <w:left w:val="none" w:sz="0" w:space="0" w:color="auto"/>
                        <w:bottom w:val="none" w:sz="0" w:space="0" w:color="auto"/>
                        <w:right w:val="none" w:sz="0" w:space="0" w:color="auto"/>
                      </w:divBdr>
                      <w:divsChild>
                        <w:div w:id="1862745314">
                          <w:marLeft w:val="0"/>
                          <w:marRight w:val="0"/>
                          <w:marTop w:val="0"/>
                          <w:marBottom w:val="0"/>
                          <w:divBdr>
                            <w:top w:val="none" w:sz="0" w:space="0" w:color="auto"/>
                            <w:left w:val="none" w:sz="0" w:space="0" w:color="auto"/>
                            <w:bottom w:val="none" w:sz="0" w:space="0" w:color="auto"/>
                            <w:right w:val="none" w:sz="0" w:space="0" w:color="auto"/>
                          </w:divBdr>
                        </w:div>
                      </w:divsChild>
                    </w:div>
                    <w:div w:id="197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5922">
          <w:marLeft w:val="0"/>
          <w:marRight w:val="0"/>
          <w:marTop w:val="0"/>
          <w:marBottom w:val="0"/>
          <w:divBdr>
            <w:top w:val="none" w:sz="0" w:space="0" w:color="auto"/>
            <w:left w:val="none" w:sz="0" w:space="0" w:color="auto"/>
            <w:bottom w:val="none" w:sz="0" w:space="0" w:color="auto"/>
            <w:right w:val="none" w:sz="0" w:space="0" w:color="auto"/>
          </w:divBdr>
          <w:divsChild>
            <w:div w:id="514659240">
              <w:marLeft w:val="0"/>
              <w:marRight w:val="0"/>
              <w:marTop w:val="100"/>
              <w:marBottom w:val="100"/>
              <w:divBdr>
                <w:top w:val="none" w:sz="0" w:space="0" w:color="auto"/>
                <w:left w:val="none" w:sz="0" w:space="0" w:color="auto"/>
                <w:bottom w:val="none" w:sz="0" w:space="0" w:color="auto"/>
                <w:right w:val="none" w:sz="0" w:space="0" w:color="auto"/>
              </w:divBdr>
              <w:divsChild>
                <w:div w:id="1577478038">
                  <w:marLeft w:val="0"/>
                  <w:marRight w:val="0"/>
                  <w:marTop w:val="0"/>
                  <w:marBottom w:val="0"/>
                  <w:divBdr>
                    <w:top w:val="none" w:sz="0" w:space="0" w:color="auto"/>
                    <w:left w:val="none" w:sz="0" w:space="0" w:color="auto"/>
                    <w:bottom w:val="none" w:sz="0" w:space="0" w:color="auto"/>
                    <w:right w:val="none" w:sz="0" w:space="0" w:color="auto"/>
                  </w:divBdr>
                  <w:divsChild>
                    <w:div w:id="1075084338">
                      <w:marLeft w:val="0"/>
                      <w:marRight w:val="0"/>
                      <w:marTop w:val="0"/>
                      <w:marBottom w:val="445"/>
                      <w:divBdr>
                        <w:top w:val="none" w:sz="0" w:space="0" w:color="auto"/>
                        <w:left w:val="none" w:sz="0" w:space="0" w:color="auto"/>
                        <w:bottom w:val="none" w:sz="0" w:space="0" w:color="auto"/>
                        <w:right w:val="none" w:sz="0" w:space="0" w:color="auto"/>
                      </w:divBdr>
                      <w:divsChild>
                        <w:div w:id="1074357093">
                          <w:marLeft w:val="0"/>
                          <w:marRight w:val="0"/>
                          <w:marTop w:val="0"/>
                          <w:marBottom w:val="0"/>
                          <w:divBdr>
                            <w:top w:val="none" w:sz="0" w:space="0" w:color="auto"/>
                            <w:left w:val="none" w:sz="0" w:space="0" w:color="auto"/>
                            <w:bottom w:val="none" w:sz="0" w:space="0" w:color="auto"/>
                            <w:right w:val="none" w:sz="0" w:space="0" w:color="auto"/>
                          </w:divBdr>
                        </w:div>
                      </w:divsChild>
                    </w:div>
                    <w:div w:id="677197166">
                      <w:marLeft w:val="0"/>
                      <w:marRight w:val="0"/>
                      <w:marTop w:val="0"/>
                      <w:marBottom w:val="445"/>
                      <w:divBdr>
                        <w:top w:val="none" w:sz="0" w:space="0" w:color="auto"/>
                        <w:left w:val="none" w:sz="0" w:space="0" w:color="auto"/>
                        <w:bottom w:val="none" w:sz="0" w:space="0" w:color="auto"/>
                        <w:right w:val="none" w:sz="0" w:space="0" w:color="auto"/>
                      </w:divBdr>
                      <w:divsChild>
                        <w:div w:id="1026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940375">
          <w:marLeft w:val="0"/>
          <w:marRight w:val="0"/>
          <w:marTop w:val="0"/>
          <w:marBottom w:val="0"/>
          <w:divBdr>
            <w:top w:val="none" w:sz="0" w:space="0" w:color="auto"/>
            <w:left w:val="none" w:sz="0" w:space="0" w:color="auto"/>
            <w:bottom w:val="none" w:sz="0" w:space="0" w:color="auto"/>
            <w:right w:val="none" w:sz="0" w:space="0" w:color="auto"/>
          </w:divBdr>
          <w:divsChild>
            <w:div w:id="1083186184">
              <w:marLeft w:val="0"/>
              <w:marRight w:val="0"/>
              <w:marTop w:val="100"/>
              <w:marBottom w:val="100"/>
              <w:divBdr>
                <w:top w:val="none" w:sz="0" w:space="0" w:color="auto"/>
                <w:left w:val="none" w:sz="0" w:space="0" w:color="auto"/>
                <w:bottom w:val="none" w:sz="0" w:space="0" w:color="auto"/>
                <w:right w:val="none" w:sz="0" w:space="0" w:color="auto"/>
              </w:divBdr>
              <w:divsChild>
                <w:div w:id="2063405859">
                  <w:marLeft w:val="0"/>
                  <w:marRight w:val="0"/>
                  <w:marTop w:val="0"/>
                  <w:marBottom w:val="0"/>
                  <w:divBdr>
                    <w:top w:val="none" w:sz="0" w:space="0" w:color="auto"/>
                    <w:left w:val="none" w:sz="0" w:space="0" w:color="auto"/>
                    <w:bottom w:val="none" w:sz="0" w:space="0" w:color="auto"/>
                    <w:right w:val="none" w:sz="0" w:space="0" w:color="auto"/>
                  </w:divBdr>
                  <w:divsChild>
                    <w:div w:id="963775056">
                      <w:marLeft w:val="0"/>
                      <w:marRight w:val="0"/>
                      <w:marTop w:val="0"/>
                      <w:marBottom w:val="445"/>
                      <w:divBdr>
                        <w:top w:val="none" w:sz="0" w:space="0" w:color="auto"/>
                        <w:left w:val="none" w:sz="0" w:space="0" w:color="auto"/>
                        <w:bottom w:val="none" w:sz="0" w:space="0" w:color="auto"/>
                        <w:right w:val="none" w:sz="0" w:space="0" w:color="auto"/>
                      </w:divBdr>
                      <w:divsChild>
                        <w:div w:id="1486582730">
                          <w:marLeft w:val="0"/>
                          <w:marRight w:val="0"/>
                          <w:marTop w:val="0"/>
                          <w:marBottom w:val="0"/>
                          <w:divBdr>
                            <w:top w:val="none" w:sz="0" w:space="0" w:color="auto"/>
                            <w:left w:val="none" w:sz="0" w:space="0" w:color="auto"/>
                            <w:bottom w:val="none" w:sz="0" w:space="0" w:color="auto"/>
                            <w:right w:val="none" w:sz="0" w:space="0" w:color="auto"/>
                          </w:divBdr>
                        </w:div>
                      </w:divsChild>
                    </w:div>
                    <w:div w:id="6636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87241">
          <w:marLeft w:val="0"/>
          <w:marRight w:val="0"/>
          <w:marTop w:val="0"/>
          <w:marBottom w:val="0"/>
          <w:divBdr>
            <w:top w:val="none" w:sz="0" w:space="0" w:color="auto"/>
            <w:left w:val="none" w:sz="0" w:space="0" w:color="auto"/>
            <w:bottom w:val="none" w:sz="0" w:space="0" w:color="auto"/>
            <w:right w:val="none" w:sz="0" w:space="0" w:color="auto"/>
          </w:divBdr>
          <w:divsChild>
            <w:div w:id="608972659">
              <w:marLeft w:val="0"/>
              <w:marRight w:val="0"/>
              <w:marTop w:val="100"/>
              <w:marBottom w:val="100"/>
              <w:divBdr>
                <w:top w:val="none" w:sz="0" w:space="0" w:color="auto"/>
                <w:left w:val="none" w:sz="0" w:space="0" w:color="auto"/>
                <w:bottom w:val="none" w:sz="0" w:space="0" w:color="auto"/>
                <w:right w:val="none" w:sz="0" w:space="0" w:color="auto"/>
              </w:divBdr>
              <w:divsChild>
                <w:div w:id="1716268356">
                  <w:marLeft w:val="0"/>
                  <w:marRight w:val="0"/>
                  <w:marTop w:val="0"/>
                  <w:marBottom w:val="0"/>
                  <w:divBdr>
                    <w:top w:val="none" w:sz="0" w:space="0" w:color="auto"/>
                    <w:left w:val="none" w:sz="0" w:space="0" w:color="auto"/>
                    <w:bottom w:val="none" w:sz="0" w:space="0" w:color="auto"/>
                    <w:right w:val="none" w:sz="0" w:space="0" w:color="auto"/>
                  </w:divBdr>
                  <w:divsChild>
                    <w:div w:id="595747009">
                      <w:marLeft w:val="0"/>
                      <w:marRight w:val="0"/>
                      <w:marTop w:val="0"/>
                      <w:marBottom w:val="445"/>
                      <w:divBdr>
                        <w:top w:val="none" w:sz="0" w:space="0" w:color="auto"/>
                        <w:left w:val="none" w:sz="0" w:space="0" w:color="auto"/>
                        <w:bottom w:val="none" w:sz="0" w:space="0" w:color="auto"/>
                        <w:right w:val="none" w:sz="0" w:space="0" w:color="auto"/>
                      </w:divBdr>
                      <w:divsChild>
                        <w:div w:id="1193497900">
                          <w:marLeft w:val="0"/>
                          <w:marRight w:val="0"/>
                          <w:marTop w:val="0"/>
                          <w:marBottom w:val="0"/>
                          <w:divBdr>
                            <w:top w:val="none" w:sz="0" w:space="0" w:color="auto"/>
                            <w:left w:val="none" w:sz="0" w:space="0" w:color="auto"/>
                            <w:bottom w:val="none" w:sz="0" w:space="0" w:color="auto"/>
                            <w:right w:val="none" w:sz="0" w:space="0" w:color="auto"/>
                          </w:divBdr>
                        </w:div>
                      </w:divsChild>
                    </w:div>
                    <w:div w:id="1936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bones-factures.org/presentation-de-la-concurrence-carbo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rbones-factures.org/en/download-the-project-c-i-instruc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bones-factures.org/en/les-enseignants/" TargetMode="External"/><Relationship Id="rId11" Type="http://schemas.openxmlformats.org/officeDocument/2006/relationships/hyperlink" Target="https://carbones-factures.org/mesure-de-la-decarbonation/" TargetMode="External"/><Relationship Id="rId5" Type="http://schemas.openxmlformats.org/officeDocument/2006/relationships/hyperlink" Target="https://carbones-factures.org/en/download-the-project-c-i-instructions/" TargetMode="External"/><Relationship Id="rId10" Type="http://schemas.openxmlformats.org/officeDocument/2006/relationships/hyperlink" Target="https://carbones-factures.org/en/download-the-project-c-i-instructions/" TargetMode="External"/><Relationship Id="rId4" Type="http://schemas.openxmlformats.org/officeDocument/2006/relationships/hyperlink" Target="https://carbones-factures.org/presentation-de-la-concurrence-carbone/" TargetMode="External"/><Relationship Id="rId9" Type="http://schemas.openxmlformats.org/officeDocument/2006/relationships/hyperlink" Target="https://carbones-factures.org/en/suggestion-de-lettre-a-un-fournisseur-pour-obtenir-le-poids-unitaire-de-ses-produi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7601</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Vanwormhoudt</dc:creator>
  <cp:keywords/>
  <dc:description/>
  <cp:lastModifiedBy>Valérie Vanwormhoudt</cp:lastModifiedBy>
  <cp:revision>2</cp:revision>
  <dcterms:created xsi:type="dcterms:W3CDTF">2024-02-19T11:25:00Z</dcterms:created>
  <dcterms:modified xsi:type="dcterms:W3CDTF">2024-02-19T11:25:00Z</dcterms:modified>
</cp:coreProperties>
</file>