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FC89" w14:textId="587A5A77" w:rsidR="00A27B1B" w:rsidRPr="00A27B1B" w:rsidRDefault="00A27B1B" w:rsidP="00A27B1B">
      <w:pPr>
        <w:pStyle w:val="Titre1"/>
        <w:shd w:val="clear" w:color="auto" w:fill="FFFFFF"/>
        <w:spacing w:before="0" w:beforeAutospacing="0" w:after="0" w:afterAutospacing="0" w:line="360" w:lineRule="atLeast"/>
        <w:textAlignment w:val="baseline"/>
        <w:rPr>
          <w:rFonts w:asciiTheme="minorHAnsi" w:hAnsiTheme="minorHAnsi" w:cstheme="minorHAnsi"/>
          <w:color w:val="000000" w:themeColor="text1"/>
          <w:sz w:val="24"/>
          <w:szCs w:val="24"/>
        </w:rPr>
      </w:pPr>
      <w:r w:rsidRPr="00A27B1B">
        <w:rPr>
          <w:rFonts w:asciiTheme="minorHAnsi" w:hAnsiTheme="minorHAnsi" w:cstheme="minorHAnsi"/>
          <w:color w:val="000000" w:themeColor="text1"/>
          <w:sz w:val="24"/>
          <w:szCs w:val="24"/>
        </w:rPr>
        <w:t xml:space="preserve">Rules for </w:t>
      </w:r>
      <w:proofErr w:type="spellStart"/>
      <w:r w:rsidRPr="00A27B1B">
        <w:rPr>
          <w:rFonts w:asciiTheme="minorHAnsi" w:hAnsiTheme="minorHAnsi" w:cstheme="minorHAnsi"/>
          <w:color w:val="000000" w:themeColor="text1"/>
          <w:sz w:val="24"/>
          <w:szCs w:val="24"/>
        </w:rPr>
        <w:t>enlarged</w:t>
      </w:r>
      <w:proofErr w:type="spellEnd"/>
      <w:r w:rsidRPr="00A27B1B">
        <w:rPr>
          <w:rFonts w:asciiTheme="minorHAnsi" w:hAnsiTheme="minorHAnsi" w:cstheme="minorHAnsi"/>
          <w:color w:val="000000" w:themeColor="text1"/>
          <w:sz w:val="24"/>
          <w:szCs w:val="24"/>
        </w:rPr>
        <w:t xml:space="preserve"> </w:t>
      </w:r>
      <w:proofErr w:type="spellStart"/>
      <w:r w:rsidRPr="00A27B1B">
        <w:rPr>
          <w:rFonts w:asciiTheme="minorHAnsi" w:hAnsiTheme="minorHAnsi" w:cstheme="minorHAnsi"/>
          <w:color w:val="000000" w:themeColor="text1"/>
          <w:sz w:val="24"/>
          <w:szCs w:val="24"/>
        </w:rPr>
        <w:t>decarbonation</w:t>
      </w:r>
      <w:proofErr w:type="spellEnd"/>
      <w:r w:rsidRPr="00A27B1B">
        <w:rPr>
          <w:rFonts w:asciiTheme="minorHAnsi" w:hAnsiTheme="minorHAnsi" w:cstheme="minorHAnsi"/>
          <w:color w:val="000000" w:themeColor="text1"/>
          <w:sz w:val="24"/>
          <w:szCs w:val="24"/>
        </w:rPr>
        <w:t xml:space="preserve"> </w:t>
      </w:r>
      <w:proofErr w:type="spellStart"/>
      <w:r w:rsidRPr="00A27B1B">
        <w:rPr>
          <w:rFonts w:asciiTheme="minorHAnsi" w:hAnsiTheme="minorHAnsi" w:cstheme="minorHAnsi"/>
          <w:color w:val="000000" w:themeColor="text1"/>
          <w:sz w:val="24"/>
          <w:szCs w:val="24"/>
        </w:rPr>
        <w:t>measures</w:t>
      </w:r>
      <w:proofErr w:type="spellEnd"/>
    </w:p>
    <w:p w14:paraId="0FE8F159" w14:textId="71700CB3" w:rsidR="00785F20" w:rsidRPr="00324FD2" w:rsidRDefault="00785F20" w:rsidP="00785F20">
      <w:pPr>
        <w:jc w:val="both"/>
        <w:rPr>
          <w:rFonts w:asciiTheme="minorHAnsi" w:hAnsiTheme="minorHAnsi" w:cstheme="minorHAnsi"/>
          <w:b/>
          <w:bCs/>
          <w:color w:val="000000" w:themeColor="text1"/>
          <w:sz w:val="24"/>
          <w:szCs w:val="24"/>
        </w:rPr>
      </w:pPr>
    </w:p>
    <w:p w14:paraId="629E1D66" w14:textId="6331F8F4" w:rsidR="00785F20" w:rsidRDefault="002F36B6" w:rsidP="00785F20">
      <w:pPr>
        <w:jc w:val="both"/>
        <w:textAlignment w:val="baseline"/>
        <w:rPr>
          <w:rFonts w:asciiTheme="minorHAnsi" w:hAnsiTheme="minorHAnsi" w:cstheme="minorHAnsi"/>
          <w:color w:val="000000" w:themeColor="text1"/>
          <w:sz w:val="24"/>
          <w:szCs w:val="24"/>
        </w:rPr>
      </w:pPr>
      <w:r w:rsidRPr="002F36B6">
        <w:rPr>
          <w:rFonts w:asciiTheme="minorHAnsi" w:hAnsiTheme="minorHAnsi" w:cstheme="minorHAnsi"/>
          <w:color w:val="000000" w:themeColor="text1"/>
          <w:sz w:val="24"/>
          <w:szCs w:val="24"/>
        </w:rPr>
        <w:t>Version at 12 09 2023</w:t>
      </w:r>
    </w:p>
    <w:p w14:paraId="21AC48A4" w14:textId="77777777" w:rsidR="002F36B6" w:rsidRPr="00324FD2" w:rsidRDefault="002F36B6" w:rsidP="00785F20">
      <w:pPr>
        <w:jc w:val="both"/>
        <w:textAlignment w:val="baseline"/>
        <w:rPr>
          <w:rFonts w:cstheme="minorHAnsi"/>
          <w:b/>
          <w:bCs/>
          <w:i/>
          <w:iCs/>
          <w:color w:val="000000" w:themeColor="text1"/>
          <w:sz w:val="24"/>
          <w:szCs w:val="24"/>
        </w:rPr>
      </w:pPr>
    </w:p>
    <w:p w14:paraId="7C213CC9" w14:textId="77777777" w:rsidR="0044583D" w:rsidRPr="0044583D" w:rsidRDefault="0044583D" w:rsidP="0044583D">
      <w:pPr>
        <w:pStyle w:val="NormalWeb"/>
        <w:rPr>
          <w:rFonts w:asciiTheme="minorHAnsi" w:hAnsiTheme="minorHAnsi" w:cstheme="minorHAnsi"/>
          <w:lang w:val="en-US"/>
        </w:rPr>
      </w:pPr>
      <w:r w:rsidRPr="0044583D">
        <w:rPr>
          <w:rStyle w:val="lev"/>
          <w:rFonts w:asciiTheme="minorHAnsi" w:hAnsiTheme="minorHAnsi" w:cstheme="minorHAnsi"/>
          <w:lang w:val="en-US"/>
        </w:rPr>
        <w:t>A- Definitions</w:t>
      </w:r>
    </w:p>
    <w:p w14:paraId="2225F138" w14:textId="77777777" w:rsidR="0044583D" w:rsidRPr="0044583D" w:rsidRDefault="0044583D" w:rsidP="0044583D">
      <w:pPr>
        <w:pStyle w:val="NormalWeb"/>
        <w:rPr>
          <w:rFonts w:asciiTheme="minorHAnsi" w:hAnsiTheme="minorHAnsi" w:cstheme="minorHAnsi"/>
          <w:lang w:val="en-US"/>
        </w:rPr>
      </w:pPr>
      <w:r w:rsidRPr="0044583D">
        <w:rPr>
          <w:rFonts w:asciiTheme="minorHAnsi" w:hAnsiTheme="minorHAnsi" w:cstheme="minorHAnsi"/>
          <w:lang w:val="en-US"/>
        </w:rPr>
        <w:t> </w:t>
      </w:r>
    </w:p>
    <w:p w14:paraId="24A3B11C" w14:textId="77777777" w:rsidR="0044583D" w:rsidRPr="0044583D" w:rsidRDefault="0044583D" w:rsidP="0044583D">
      <w:pPr>
        <w:pStyle w:val="NormalWeb"/>
        <w:rPr>
          <w:rFonts w:asciiTheme="minorHAnsi" w:hAnsiTheme="minorHAnsi" w:cstheme="minorHAnsi"/>
          <w:lang w:val="en-US"/>
        </w:rPr>
      </w:pPr>
      <w:proofErr w:type="spellStart"/>
      <w:r w:rsidRPr="0044583D">
        <w:rPr>
          <w:rStyle w:val="lev"/>
          <w:rFonts w:asciiTheme="minorHAnsi" w:hAnsiTheme="minorHAnsi" w:cstheme="minorHAnsi"/>
          <w:lang w:val="en-US"/>
        </w:rPr>
        <w:t>Organisation</w:t>
      </w:r>
      <w:proofErr w:type="spellEnd"/>
      <w:r w:rsidRPr="0044583D">
        <w:rPr>
          <w:rFonts w:asciiTheme="minorHAnsi" w:hAnsiTheme="minorHAnsi" w:cstheme="minorHAnsi"/>
          <w:lang w:val="en-US"/>
        </w:rPr>
        <w:t xml:space="preserve"> includes any </w:t>
      </w:r>
      <w:proofErr w:type="spellStart"/>
      <w:r w:rsidRPr="0044583D">
        <w:rPr>
          <w:rFonts w:asciiTheme="minorHAnsi" w:hAnsiTheme="minorHAnsi" w:cstheme="minorHAnsi"/>
          <w:lang w:val="en-US"/>
        </w:rPr>
        <w:t>organisation</w:t>
      </w:r>
      <w:proofErr w:type="spellEnd"/>
      <w:r w:rsidRPr="0044583D">
        <w:rPr>
          <w:rFonts w:asciiTheme="minorHAnsi" w:hAnsiTheme="minorHAnsi" w:cstheme="minorHAnsi"/>
          <w:lang w:val="en-US"/>
        </w:rPr>
        <w:t xml:space="preserve"> that keeps accounts, whether it is a market </w:t>
      </w:r>
      <w:proofErr w:type="spellStart"/>
      <w:r w:rsidRPr="0044583D">
        <w:rPr>
          <w:rFonts w:asciiTheme="minorHAnsi" w:hAnsiTheme="minorHAnsi" w:cstheme="minorHAnsi"/>
          <w:lang w:val="en-US"/>
        </w:rPr>
        <w:t>organisation</w:t>
      </w:r>
      <w:proofErr w:type="spellEnd"/>
      <w:r w:rsidRPr="0044583D">
        <w:rPr>
          <w:rFonts w:asciiTheme="minorHAnsi" w:hAnsiTheme="minorHAnsi" w:cstheme="minorHAnsi"/>
          <w:lang w:val="en-US"/>
        </w:rPr>
        <w:t xml:space="preserve"> (company, etc.) or a non-market </w:t>
      </w:r>
      <w:proofErr w:type="spellStart"/>
      <w:r w:rsidRPr="0044583D">
        <w:rPr>
          <w:rFonts w:asciiTheme="minorHAnsi" w:hAnsiTheme="minorHAnsi" w:cstheme="minorHAnsi"/>
          <w:lang w:val="en-US"/>
        </w:rPr>
        <w:t>organisation</w:t>
      </w:r>
      <w:proofErr w:type="spellEnd"/>
      <w:r w:rsidRPr="0044583D">
        <w:rPr>
          <w:rFonts w:asciiTheme="minorHAnsi" w:hAnsiTheme="minorHAnsi" w:cstheme="minorHAnsi"/>
          <w:lang w:val="en-US"/>
        </w:rPr>
        <w:t xml:space="preserve"> (public authority, etc.).</w:t>
      </w:r>
    </w:p>
    <w:p w14:paraId="36CE48C1" w14:textId="77777777" w:rsidR="0044583D" w:rsidRPr="0044583D" w:rsidRDefault="0044583D" w:rsidP="0044583D">
      <w:pPr>
        <w:pStyle w:val="NormalWeb"/>
        <w:rPr>
          <w:rFonts w:asciiTheme="minorHAnsi" w:hAnsiTheme="minorHAnsi" w:cstheme="minorHAnsi"/>
          <w:lang w:val="en-US"/>
        </w:rPr>
      </w:pPr>
      <w:r w:rsidRPr="0044583D">
        <w:rPr>
          <w:rStyle w:val="lev"/>
          <w:rFonts w:asciiTheme="minorHAnsi" w:hAnsiTheme="minorHAnsi" w:cstheme="minorHAnsi"/>
          <w:lang w:val="en-US"/>
        </w:rPr>
        <w:t>Product</w:t>
      </w:r>
      <w:r w:rsidRPr="0044583D">
        <w:rPr>
          <w:rFonts w:asciiTheme="minorHAnsi" w:hAnsiTheme="minorHAnsi" w:cstheme="minorHAnsi"/>
          <w:lang w:val="en-US"/>
        </w:rPr>
        <w:t xml:space="preserve"> covers goods and services.</w:t>
      </w:r>
    </w:p>
    <w:p w14:paraId="22C9D5D4" w14:textId="77777777" w:rsidR="0044583D" w:rsidRPr="0044583D" w:rsidRDefault="0044583D" w:rsidP="0044583D">
      <w:pPr>
        <w:pStyle w:val="NormalWeb"/>
        <w:rPr>
          <w:rFonts w:asciiTheme="minorHAnsi" w:hAnsiTheme="minorHAnsi" w:cstheme="minorHAnsi"/>
          <w:lang w:val="en-US"/>
        </w:rPr>
      </w:pPr>
      <w:r w:rsidRPr="0044583D">
        <w:rPr>
          <w:rStyle w:val="lev"/>
          <w:rFonts w:asciiTheme="minorHAnsi" w:hAnsiTheme="minorHAnsi" w:cstheme="minorHAnsi"/>
          <w:lang w:val="en-US"/>
        </w:rPr>
        <w:t>Monetary accounts</w:t>
      </w:r>
      <w:r w:rsidRPr="0044583D">
        <w:rPr>
          <w:rFonts w:asciiTheme="minorHAnsi" w:hAnsiTheme="minorHAnsi" w:cstheme="minorHAnsi"/>
          <w:lang w:val="en-US"/>
        </w:rPr>
        <w:t xml:space="preserve"> </w:t>
      </w:r>
      <w:proofErr w:type="gramStart"/>
      <w:r w:rsidRPr="0044583D">
        <w:rPr>
          <w:rFonts w:asciiTheme="minorHAnsi" w:hAnsiTheme="minorHAnsi" w:cstheme="minorHAnsi"/>
          <w:lang w:val="en-US"/>
        </w:rPr>
        <w:t>refers</w:t>
      </w:r>
      <w:proofErr w:type="gramEnd"/>
      <w:r w:rsidRPr="0044583D">
        <w:rPr>
          <w:rFonts w:asciiTheme="minorHAnsi" w:hAnsiTheme="minorHAnsi" w:cstheme="minorHAnsi"/>
          <w:lang w:val="en-US"/>
        </w:rPr>
        <w:t xml:space="preserve"> to the summary accounts produced by monetary accounting: profit and loss account and balance sheet account.</w:t>
      </w:r>
    </w:p>
    <w:p w14:paraId="341CE4F5" w14:textId="77777777" w:rsidR="0044583D" w:rsidRPr="0044583D" w:rsidRDefault="0044583D" w:rsidP="0044583D">
      <w:pPr>
        <w:pStyle w:val="NormalWeb"/>
        <w:rPr>
          <w:rFonts w:asciiTheme="minorHAnsi" w:hAnsiTheme="minorHAnsi" w:cstheme="minorHAnsi"/>
          <w:lang w:val="en-US"/>
        </w:rPr>
      </w:pPr>
      <w:r w:rsidRPr="0044583D">
        <w:rPr>
          <w:rStyle w:val="lev"/>
          <w:rFonts w:asciiTheme="minorHAnsi" w:hAnsiTheme="minorHAnsi" w:cstheme="minorHAnsi"/>
          <w:lang w:val="en-US"/>
        </w:rPr>
        <w:t>Carbon weight</w:t>
      </w:r>
      <w:r w:rsidRPr="0044583D">
        <w:rPr>
          <w:rFonts w:asciiTheme="minorHAnsi" w:hAnsiTheme="minorHAnsi" w:cstheme="minorHAnsi"/>
          <w:lang w:val="en-US"/>
        </w:rPr>
        <w:t xml:space="preserve"> refers to the international standard for equivalence of greenhouse gases caused by human activity, expressed in kilos of CO</w:t>
      </w:r>
      <w:r w:rsidRPr="0044583D">
        <w:rPr>
          <w:rFonts w:asciiTheme="minorHAnsi" w:hAnsiTheme="minorHAnsi" w:cstheme="minorHAnsi"/>
          <w:vertAlign w:val="subscript"/>
          <w:lang w:val="en-US"/>
        </w:rPr>
        <w:t>2</w:t>
      </w:r>
      <w:r w:rsidRPr="0044583D">
        <w:rPr>
          <w:rFonts w:asciiTheme="minorHAnsi" w:hAnsiTheme="minorHAnsi" w:cstheme="minorHAnsi"/>
          <w:lang w:val="en-US"/>
        </w:rPr>
        <w:t xml:space="preserve"> equivalent.</w:t>
      </w:r>
    </w:p>
    <w:p w14:paraId="538854A8" w14:textId="77777777" w:rsidR="0044583D" w:rsidRPr="0044583D" w:rsidRDefault="0044583D" w:rsidP="0044583D">
      <w:pPr>
        <w:pStyle w:val="NormalWeb"/>
        <w:rPr>
          <w:rFonts w:asciiTheme="minorHAnsi" w:hAnsiTheme="minorHAnsi" w:cstheme="minorHAnsi"/>
          <w:lang w:val="en-US"/>
        </w:rPr>
      </w:pPr>
      <w:r w:rsidRPr="0044583D">
        <w:rPr>
          <w:rStyle w:val="lev"/>
          <w:rFonts w:asciiTheme="minorHAnsi" w:hAnsiTheme="minorHAnsi" w:cstheme="minorHAnsi"/>
          <w:lang w:val="en-US"/>
        </w:rPr>
        <w:t>Standard product</w:t>
      </w:r>
      <w:r w:rsidRPr="0044583D">
        <w:rPr>
          <w:rFonts w:asciiTheme="minorHAnsi" w:hAnsiTheme="minorHAnsi" w:cstheme="minorHAnsi"/>
          <w:lang w:val="en-US"/>
        </w:rPr>
        <w:t xml:space="preserve"> refers to a good or service taken from a nomenclature derived from the French Product List or its equivalent (link).</w:t>
      </w:r>
    </w:p>
    <w:p w14:paraId="3024A014" w14:textId="77777777" w:rsidR="0044583D" w:rsidRPr="0044583D" w:rsidRDefault="0044583D" w:rsidP="0044583D">
      <w:pPr>
        <w:pStyle w:val="NormalWeb"/>
        <w:rPr>
          <w:rFonts w:asciiTheme="minorHAnsi" w:hAnsiTheme="minorHAnsi" w:cstheme="minorHAnsi"/>
          <w:lang w:val="en-US"/>
        </w:rPr>
      </w:pPr>
      <w:r w:rsidRPr="0044583D">
        <w:rPr>
          <w:rStyle w:val="lev"/>
          <w:rFonts w:asciiTheme="minorHAnsi" w:hAnsiTheme="minorHAnsi" w:cstheme="minorHAnsi"/>
          <w:lang w:val="en-US"/>
        </w:rPr>
        <w:t>Carbon accounts</w:t>
      </w:r>
      <w:r w:rsidRPr="0044583D">
        <w:rPr>
          <w:rFonts w:asciiTheme="minorHAnsi" w:hAnsiTheme="minorHAnsi" w:cstheme="minorHAnsi"/>
          <w:lang w:val="en-US"/>
        </w:rPr>
        <w:t xml:space="preserve"> refer to the carbon accounts drawn up annually by an enlarged accounting </w:t>
      </w:r>
      <w:proofErr w:type="spellStart"/>
      <w:proofErr w:type="gramStart"/>
      <w:r w:rsidRPr="0044583D">
        <w:rPr>
          <w:rFonts w:asciiTheme="minorHAnsi" w:hAnsiTheme="minorHAnsi" w:cstheme="minorHAnsi"/>
          <w:lang w:val="en-US"/>
        </w:rPr>
        <w:t>organisation</w:t>
      </w:r>
      <w:proofErr w:type="spellEnd"/>
      <w:r w:rsidRPr="0044583D">
        <w:rPr>
          <w:rFonts w:asciiTheme="minorHAnsi" w:hAnsiTheme="minorHAnsi" w:cstheme="minorHAnsi"/>
          <w:lang w:val="en-US"/>
        </w:rPr>
        <w:t xml:space="preserve"> :</w:t>
      </w:r>
      <w:proofErr w:type="gramEnd"/>
    </w:p>
    <w:p w14:paraId="081DDA17" w14:textId="77777777" w:rsidR="0044583D" w:rsidRPr="0044583D" w:rsidRDefault="0044583D" w:rsidP="0044583D">
      <w:pPr>
        <w:pStyle w:val="NormalWeb"/>
        <w:rPr>
          <w:rFonts w:asciiTheme="minorHAnsi" w:hAnsiTheme="minorHAnsi" w:cstheme="minorHAnsi"/>
          <w:lang w:val="en-US"/>
        </w:rPr>
      </w:pPr>
      <w:r w:rsidRPr="0044583D">
        <w:rPr>
          <w:rStyle w:val="lev"/>
          <w:rFonts w:asciiTheme="minorHAnsi" w:hAnsiTheme="minorHAnsi" w:cstheme="minorHAnsi"/>
          <w:lang w:val="en-US"/>
        </w:rPr>
        <w:t>The unit weight</w:t>
      </w:r>
      <w:r w:rsidRPr="0044583D">
        <w:rPr>
          <w:rFonts w:asciiTheme="minorHAnsi" w:hAnsiTheme="minorHAnsi" w:cstheme="minorHAnsi"/>
          <w:lang w:val="en-US"/>
        </w:rPr>
        <w:t xml:space="preserve"> count gives the average carbon weight over the year of one unit of each standard product sold.</w:t>
      </w:r>
    </w:p>
    <w:p w14:paraId="7C444805" w14:textId="77777777" w:rsidR="0044583D" w:rsidRPr="0044583D" w:rsidRDefault="0044583D" w:rsidP="0044583D">
      <w:pPr>
        <w:pStyle w:val="NormalWeb"/>
        <w:rPr>
          <w:rFonts w:asciiTheme="minorHAnsi" w:hAnsiTheme="minorHAnsi" w:cstheme="minorHAnsi"/>
          <w:lang w:val="en-US"/>
        </w:rPr>
      </w:pPr>
      <w:r w:rsidRPr="0044583D">
        <w:rPr>
          <w:rStyle w:val="lev"/>
          <w:rFonts w:asciiTheme="minorHAnsi" w:hAnsiTheme="minorHAnsi" w:cstheme="minorHAnsi"/>
          <w:lang w:val="en-US"/>
        </w:rPr>
        <w:t>The decarbonation account</w:t>
      </w:r>
      <w:r w:rsidRPr="0044583D">
        <w:rPr>
          <w:rFonts w:asciiTheme="minorHAnsi" w:hAnsiTheme="minorHAnsi" w:cstheme="minorHAnsi"/>
          <w:lang w:val="en-US"/>
        </w:rPr>
        <w:t xml:space="preserve"> measures the progress or decline in the </w:t>
      </w:r>
      <w:proofErr w:type="spellStart"/>
      <w:r w:rsidRPr="0044583D">
        <w:rPr>
          <w:rFonts w:asciiTheme="minorHAnsi" w:hAnsiTheme="minorHAnsi" w:cstheme="minorHAnsi"/>
          <w:lang w:val="en-US"/>
        </w:rPr>
        <w:t>organisation's</w:t>
      </w:r>
      <w:proofErr w:type="spellEnd"/>
      <w:r w:rsidRPr="0044583D">
        <w:rPr>
          <w:rFonts w:asciiTheme="minorHAnsi" w:hAnsiTheme="minorHAnsi" w:cstheme="minorHAnsi"/>
          <w:lang w:val="en-US"/>
        </w:rPr>
        <w:t xml:space="preserve"> carbon impact on the atmosphere (from one year to the next). It consolidates the decarbonation results of the </w:t>
      </w:r>
      <w:proofErr w:type="spellStart"/>
      <w:r w:rsidRPr="0044583D">
        <w:rPr>
          <w:rFonts w:asciiTheme="minorHAnsi" w:hAnsiTheme="minorHAnsi" w:cstheme="minorHAnsi"/>
          <w:lang w:val="en-US"/>
        </w:rPr>
        <w:t>organisation's</w:t>
      </w:r>
      <w:proofErr w:type="spellEnd"/>
      <w:r w:rsidRPr="0044583D">
        <w:rPr>
          <w:rFonts w:asciiTheme="minorHAnsi" w:hAnsiTheme="minorHAnsi" w:cstheme="minorHAnsi"/>
          <w:lang w:val="en-US"/>
        </w:rPr>
        <w:t xml:space="preserve"> subsidiaries and holdings.</w:t>
      </w:r>
    </w:p>
    <w:p w14:paraId="628BD356" w14:textId="77777777" w:rsidR="0044583D" w:rsidRPr="0044583D" w:rsidRDefault="0044583D" w:rsidP="0044583D">
      <w:pPr>
        <w:pStyle w:val="NormalWeb"/>
        <w:rPr>
          <w:rFonts w:asciiTheme="minorHAnsi" w:hAnsiTheme="minorHAnsi" w:cstheme="minorHAnsi"/>
          <w:lang w:val="en-US"/>
        </w:rPr>
      </w:pPr>
      <w:r w:rsidRPr="0044583D">
        <w:rPr>
          <w:rStyle w:val="lev"/>
          <w:rFonts w:asciiTheme="minorHAnsi" w:hAnsiTheme="minorHAnsi" w:cstheme="minorHAnsi"/>
          <w:lang w:val="en-US"/>
        </w:rPr>
        <w:t>B-Principles</w:t>
      </w:r>
    </w:p>
    <w:p w14:paraId="29377D42" w14:textId="77777777" w:rsidR="0044583D" w:rsidRPr="0044583D" w:rsidRDefault="0044583D" w:rsidP="0044583D">
      <w:pPr>
        <w:pStyle w:val="NormalWeb"/>
        <w:rPr>
          <w:rFonts w:asciiTheme="minorHAnsi" w:hAnsiTheme="minorHAnsi" w:cstheme="minorHAnsi"/>
          <w:lang w:val="en-US"/>
        </w:rPr>
      </w:pPr>
      <w:r w:rsidRPr="0044583D">
        <w:rPr>
          <w:rStyle w:val="lev"/>
          <w:rFonts w:asciiTheme="minorHAnsi" w:hAnsiTheme="minorHAnsi" w:cstheme="minorHAnsi"/>
          <w:lang w:val="en-US"/>
        </w:rPr>
        <w:t xml:space="preserve">Subsidiarity of rules applied to </w:t>
      </w:r>
      <w:proofErr w:type="gramStart"/>
      <w:r w:rsidRPr="0044583D">
        <w:rPr>
          <w:rStyle w:val="lev"/>
          <w:rFonts w:asciiTheme="minorHAnsi" w:hAnsiTheme="minorHAnsi" w:cstheme="minorHAnsi"/>
          <w:lang w:val="en-US"/>
        </w:rPr>
        <w:t>carbons</w:t>
      </w:r>
      <w:r w:rsidRPr="0044583D">
        <w:rPr>
          <w:rFonts w:asciiTheme="minorHAnsi" w:hAnsiTheme="minorHAnsi" w:cstheme="minorHAnsi"/>
          <w:lang w:val="en-US"/>
        </w:rPr>
        <w:t xml:space="preserve"> :Unless</w:t>
      </w:r>
      <w:proofErr w:type="gramEnd"/>
      <w:r w:rsidRPr="0044583D">
        <w:rPr>
          <w:rFonts w:asciiTheme="minorHAnsi" w:hAnsiTheme="minorHAnsi" w:cstheme="minorHAnsi"/>
          <w:lang w:val="en-US"/>
        </w:rPr>
        <w:t xml:space="preserve"> otherwise stated in this text, the accounting officer applies the rules for monetary accounts.</w:t>
      </w:r>
    </w:p>
    <w:p w14:paraId="50CD1FD9" w14:textId="77777777" w:rsidR="0044583D" w:rsidRPr="0044583D" w:rsidRDefault="0044583D" w:rsidP="0044583D">
      <w:pPr>
        <w:pStyle w:val="NormalWeb"/>
        <w:rPr>
          <w:rFonts w:asciiTheme="minorHAnsi" w:hAnsiTheme="minorHAnsi" w:cstheme="minorHAnsi"/>
          <w:lang w:val="en-US"/>
        </w:rPr>
      </w:pPr>
      <w:r w:rsidRPr="0044583D">
        <w:rPr>
          <w:rStyle w:val="lev"/>
          <w:rFonts w:asciiTheme="minorHAnsi" w:hAnsiTheme="minorHAnsi" w:cstheme="minorHAnsi"/>
          <w:lang w:val="en-US"/>
        </w:rPr>
        <w:t xml:space="preserve">Collaboration in the measurement and verification of carbon unit </w:t>
      </w:r>
      <w:proofErr w:type="gramStart"/>
      <w:r w:rsidRPr="0044583D">
        <w:rPr>
          <w:rStyle w:val="lev"/>
          <w:rFonts w:asciiTheme="minorHAnsi" w:hAnsiTheme="minorHAnsi" w:cstheme="minorHAnsi"/>
          <w:lang w:val="en-US"/>
        </w:rPr>
        <w:t>weights</w:t>
      </w:r>
      <w:r w:rsidRPr="0044583D">
        <w:rPr>
          <w:rFonts w:asciiTheme="minorHAnsi" w:hAnsiTheme="minorHAnsi" w:cstheme="minorHAnsi"/>
          <w:lang w:val="en-US"/>
        </w:rPr>
        <w:t xml:space="preserve"> :</w:t>
      </w:r>
      <w:proofErr w:type="gramEnd"/>
      <w:r w:rsidRPr="0044583D">
        <w:rPr>
          <w:rFonts w:asciiTheme="minorHAnsi" w:hAnsiTheme="minorHAnsi" w:cstheme="minorHAnsi"/>
          <w:lang w:val="en-US"/>
        </w:rPr>
        <w:t xml:space="preserve"> Measurement and verification are shared along the invoicing chain: upstream to the supplier, downstream to the customer, throughout the cycle (production, use and end of life).</w:t>
      </w:r>
    </w:p>
    <w:p w14:paraId="684B9D9F" w14:textId="77777777" w:rsidR="0044583D" w:rsidRPr="0044583D" w:rsidRDefault="0044583D" w:rsidP="0044583D">
      <w:pPr>
        <w:pStyle w:val="NormalWeb"/>
        <w:rPr>
          <w:rFonts w:asciiTheme="minorHAnsi" w:hAnsiTheme="minorHAnsi" w:cstheme="minorHAnsi"/>
          <w:lang w:val="en-US"/>
        </w:rPr>
      </w:pPr>
      <w:r w:rsidRPr="0044583D">
        <w:rPr>
          <w:rStyle w:val="lev"/>
          <w:rFonts w:asciiTheme="minorHAnsi" w:hAnsiTheme="minorHAnsi" w:cstheme="minorHAnsi"/>
          <w:lang w:val="en-US"/>
        </w:rPr>
        <w:t xml:space="preserve">Comparability of </w:t>
      </w:r>
      <w:proofErr w:type="gramStart"/>
      <w:r w:rsidRPr="0044583D">
        <w:rPr>
          <w:rStyle w:val="lev"/>
          <w:rFonts w:asciiTheme="minorHAnsi" w:hAnsiTheme="minorHAnsi" w:cstheme="minorHAnsi"/>
          <w:lang w:val="en-US"/>
        </w:rPr>
        <w:t>weights</w:t>
      </w:r>
      <w:r w:rsidRPr="0044583D">
        <w:rPr>
          <w:rFonts w:asciiTheme="minorHAnsi" w:hAnsiTheme="minorHAnsi" w:cstheme="minorHAnsi"/>
          <w:lang w:val="en-US"/>
        </w:rPr>
        <w:t xml:space="preserve"> :</w:t>
      </w:r>
      <w:proofErr w:type="gramEnd"/>
      <w:r w:rsidRPr="0044583D">
        <w:rPr>
          <w:rFonts w:asciiTheme="minorHAnsi" w:hAnsiTheme="minorHAnsi" w:cstheme="minorHAnsi"/>
          <w:lang w:val="en-US"/>
        </w:rPr>
        <w:t xml:space="preserve"> The measurement is transmitted to the customer as a quantity of a standard product and its unit weight, in accordance with the international standard for the carbon footprint of products 'from mine to customer' (consistent with the standard for 'upstream scopes 1, 2 and 3' </w:t>
      </w:r>
      <w:proofErr w:type="spellStart"/>
      <w:r w:rsidRPr="0044583D">
        <w:rPr>
          <w:rFonts w:asciiTheme="minorHAnsi" w:hAnsiTheme="minorHAnsi" w:cstheme="minorHAnsi"/>
          <w:lang w:val="en-US"/>
        </w:rPr>
        <w:t>organisations</w:t>
      </w:r>
      <w:proofErr w:type="spellEnd"/>
      <w:r w:rsidRPr="0044583D">
        <w:rPr>
          <w:rFonts w:asciiTheme="minorHAnsi" w:hAnsiTheme="minorHAnsi" w:cstheme="minorHAnsi"/>
          <w:lang w:val="en-US"/>
        </w:rPr>
        <w:t>).</w:t>
      </w:r>
    </w:p>
    <w:p w14:paraId="37EADC24" w14:textId="77777777" w:rsidR="0044583D" w:rsidRPr="0044583D" w:rsidRDefault="0044583D" w:rsidP="0044583D">
      <w:pPr>
        <w:pStyle w:val="NormalWeb"/>
        <w:rPr>
          <w:rFonts w:asciiTheme="minorHAnsi" w:hAnsiTheme="minorHAnsi" w:cstheme="minorHAnsi"/>
          <w:lang w:val="en-US"/>
        </w:rPr>
      </w:pPr>
      <w:r w:rsidRPr="0044583D">
        <w:rPr>
          <w:rStyle w:val="lev"/>
          <w:rFonts w:asciiTheme="minorHAnsi" w:hAnsiTheme="minorHAnsi" w:cstheme="minorHAnsi"/>
          <w:lang w:val="en-US"/>
        </w:rPr>
        <w:lastRenderedPageBreak/>
        <w:t xml:space="preserve">Completeness of unit </w:t>
      </w:r>
      <w:proofErr w:type="gramStart"/>
      <w:r w:rsidRPr="0044583D">
        <w:rPr>
          <w:rStyle w:val="lev"/>
          <w:rFonts w:asciiTheme="minorHAnsi" w:hAnsiTheme="minorHAnsi" w:cstheme="minorHAnsi"/>
          <w:lang w:val="en-US"/>
        </w:rPr>
        <w:t>weight</w:t>
      </w:r>
      <w:r w:rsidRPr="0044583D">
        <w:rPr>
          <w:rFonts w:asciiTheme="minorHAnsi" w:hAnsiTheme="minorHAnsi" w:cstheme="minorHAnsi"/>
          <w:lang w:val="en-US"/>
        </w:rPr>
        <w:t xml:space="preserve"> :</w:t>
      </w:r>
      <w:proofErr w:type="gramEnd"/>
      <w:r w:rsidRPr="0044583D">
        <w:rPr>
          <w:rFonts w:asciiTheme="minorHAnsi" w:hAnsiTheme="minorHAnsi" w:cstheme="minorHAnsi"/>
          <w:lang w:val="en-US"/>
        </w:rPr>
        <w:t xml:space="preserve"> This includes the carbon weight of all the feedstocks used in the manufacture of the product and any carbons emitted or captured by the production process (excluding burnt fuels pre-counted upstream, see below).</w:t>
      </w:r>
    </w:p>
    <w:p w14:paraId="480C22D3" w14:textId="77777777" w:rsidR="0044583D" w:rsidRPr="0044583D" w:rsidRDefault="0044583D" w:rsidP="0044583D">
      <w:pPr>
        <w:pStyle w:val="NormalWeb"/>
        <w:rPr>
          <w:rFonts w:asciiTheme="minorHAnsi" w:hAnsiTheme="minorHAnsi" w:cstheme="minorHAnsi"/>
          <w:lang w:val="en-US"/>
        </w:rPr>
      </w:pPr>
      <w:r w:rsidRPr="0044583D">
        <w:rPr>
          <w:rStyle w:val="lev"/>
          <w:rFonts w:asciiTheme="minorHAnsi" w:hAnsiTheme="minorHAnsi" w:cstheme="minorHAnsi"/>
          <w:lang w:val="en-US"/>
        </w:rPr>
        <w:t xml:space="preserve">Prudent unit </w:t>
      </w:r>
      <w:proofErr w:type="gramStart"/>
      <w:r w:rsidRPr="0044583D">
        <w:rPr>
          <w:rStyle w:val="lev"/>
          <w:rFonts w:asciiTheme="minorHAnsi" w:hAnsiTheme="minorHAnsi" w:cstheme="minorHAnsi"/>
          <w:lang w:val="en-US"/>
        </w:rPr>
        <w:t>weight</w:t>
      </w:r>
      <w:r w:rsidRPr="0044583D">
        <w:rPr>
          <w:rFonts w:asciiTheme="minorHAnsi" w:hAnsiTheme="minorHAnsi" w:cstheme="minorHAnsi"/>
          <w:lang w:val="en-US"/>
        </w:rPr>
        <w:t xml:space="preserve"> :</w:t>
      </w:r>
      <w:proofErr w:type="gramEnd"/>
      <w:r w:rsidRPr="0044583D">
        <w:rPr>
          <w:rFonts w:asciiTheme="minorHAnsi" w:hAnsiTheme="minorHAnsi" w:cstheme="minorHAnsi"/>
          <w:lang w:val="en-US"/>
        </w:rPr>
        <w:t xml:space="preserve"> Without a supplier weight, the </w:t>
      </w:r>
      <w:proofErr w:type="spellStart"/>
      <w:r w:rsidRPr="0044583D">
        <w:rPr>
          <w:rFonts w:asciiTheme="minorHAnsi" w:hAnsiTheme="minorHAnsi" w:cstheme="minorHAnsi"/>
          <w:lang w:val="en-US"/>
        </w:rPr>
        <w:t>organisation</w:t>
      </w:r>
      <w:proofErr w:type="spellEnd"/>
      <w:r w:rsidRPr="0044583D">
        <w:rPr>
          <w:rFonts w:asciiTheme="minorHAnsi" w:hAnsiTheme="minorHAnsi" w:cstheme="minorHAnsi"/>
          <w:lang w:val="en-US"/>
        </w:rPr>
        <w:t xml:space="preserve"> uses a prudent weight for the standard product given by a reliable source.</w:t>
      </w:r>
    </w:p>
    <w:p w14:paraId="14A0D903" w14:textId="77777777" w:rsidR="0044583D" w:rsidRPr="0044583D" w:rsidRDefault="0044583D" w:rsidP="0044583D">
      <w:pPr>
        <w:pStyle w:val="NormalWeb"/>
        <w:rPr>
          <w:rFonts w:asciiTheme="minorHAnsi" w:hAnsiTheme="minorHAnsi" w:cstheme="minorHAnsi"/>
          <w:lang w:val="en-US"/>
        </w:rPr>
      </w:pPr>
      <w:r w:rsidRPr="0044583D">
        <w:rPr>
          <w:rStyle w:val="lev"/>
          <w:rFonts w:asciiTheme="minorHAnsi" w:hAnsiTheme="minorHAnsi" w:cstheme="minorHAnsi"/>
          <w:lang w:val="en-US"/>
        </w:rPr>
        <w:t xml:space="preserve">Rapid impact of carbons </w:t>
      </w:r>
      <w:proofErr w:type="gramStart"/>
      <w:r w:rsidRPr="0044583D">
        <w:rPr>
          <w:rStyle w:val="lev"/>
          <w:rFonts w:asciiTheme="minorHAnsi" w:hAnsiTheme="minorHAnsi" w:cstheme="minorHAnsi"/>
          <w:lang w:val="en-US"/>
        </w:rPr>
        <w:t>issued</w:t>
      </w:r>
      <w:r w:rsidRPr="0044583D">
        <w:rPr>
          <w:rFonts w:asciiTheme="minorHAnsi" w:hAnsiTheme="minorHAnsi" w:cstheme="minorHAnsi"/>
          <w:lang w:val="en-US"/>
        </w:rPr>
        <w:t xml:space="preserve"> :</w:t>
      </w:r>
      <w:proofErr w:type="gramEnd"/>
      <w:r w:rsidRPr="0044583D">
        <w:rPr>
          <w:rFonts w:asciiTheme="minorHAnsi" w:hAnsiTheme="minorHAnsi" w:cstheme="minorHAnsi"/>
          <w:lang w:val="en-US"/>
        </w:rPr>
        <w:t xml:space="preserve"> carbons in and out are recorded immediately (on a cash basis). By way of exception, certain commitments are monitored over several financial years, </w:t>
      </w:r>
      <w:proofErr w:type="gramStart"/>
      <w:r w:rsidRPr="0044583D">
        <w:rPr>
          <w:rFonts w:asciiTheme="minorHAnsi" w:hAnsiTheme="minorHAnsi" w:cstheme="minorHAnsi"/>
          <w:lang w:val="en-US"/>
        </w:rPr>
        <w:t>in order to</w:t>
      </w:r>
      <w:proofErr w:type="gramEnd"/>
      <w:r w:rsidRPr="0044583D">
        <w:rPr>
          <w:rFonts w:asciiTheme="minorHAnsi" w:hAnsiTheme="minorHAnsi" w:cstheme="minorHAnsi"/>
          <w:lang w:val="en-US"/>
        </w:rPr>
        <w:t xml:space="preserve"> ensure the accuracy of the data provided.</w:t>
      </w:r>
    </w:p>
    <w:p w14:paraId="79B21231" w14:textId="77777777" w:rsidR="0044583D" w:rsidRPr="0044583D" w:rsidRDefault="0044583D" w:rsidP="0044583D">
      <w:pPr>
        <w:pStyle w:val="NormalWeb"/>
        <w:rPr>
          <w:rFonts w:asciiTheme="minorHAnsi" w:hAnsiTheme="minorHAnsi" w:cstheme="minorHAnsi"/>
          <w:lang w:val="en-US"/>
        </w:rPr>
      </w:pPr>
      <w:r w:rsidRPr="0044583D">
        <w:rPr>
          <w:rStyle w:val="lev"/>
          <w:rFonts w:asciiTheme="minorHAnsi" w:hAnsiTheme="minorHAnsi" w:cstheme="minorHAnsi"/>
          <w:lang w:val="en-US"/>
        </w:rPr>
        <w:t xml:space="preserve">Accuracy of weights </w:t>
      </w:r>
      <w:proofErr w:type="gramStart"/>
      <w:r w:rsidRPr="0044583D">
        <w:rPr>
          <w:rStyle w:val="lev"/>
          <w:rFonts w:asciiTheme="minorHAnsi" w:hAnsiTheme="minorHAnsi" w:cstheme="minorHAnsi"/>
          <w:lang w:val="en-US"/>
        </w:rPr>
        <w:t>reported</w:t>
      </w:r>
      <w:r w:rsidRPr="0044583D">
        <w:rPr>
          <w:rFonts w:asciiTheme="minorHAnsi" w:hAnsiTheme="minorHAnsi" w:cstheme="minorHAnsi"/>
          <w:lang w:val="en-US"/>
        </w:rPr>
        <w:t xml:space="preserve"> :</w:t>
      </w:r>
      <w:proofErr w:type="gramEnd"/>
      <w:r w:rsidRPr="0044583D">
        <w:rPr>
          <w:rFonts w:asciiTheme="minorHAnsi" w:hAnsiTheme="minorHAnsi" w:cstheme="minorHAnsi"/>
          <w:lang w:val="en-US"/>
        </w:rPr>
        <w:t xml:space="preserve"> Commitments for significant fixed assets and significant work-in-progress are monitored for each financial year. The resulting delay in the overall impact is offset by deducting future emissions from fossil fuel combustion from the unit weight of fossil fuels.</w:t>
      </w:r>
    </w:p>
    <w:p w14:paraId="3F70D44B" w14:textId="77777777" w:rsidR="0044583D" w:rsidRPr="0044583D" w:rsidRDefault="0044583D" w:rsidP="0044583D">
      <w:pPr>
        <w:pStyle w:val="NormalWeb"/>
        <w:rPr>
          <w:rFonts w:asciiTheme="minorHAnsi" w:hAnsiTheme="minorHAnsi" w:cstheme="minorHAnsi"/>
          <w:lang w:val="en-US"/>
        </w:rPr>
      </w:pPr>
      <w:r w:rsidRPr="0044583D">
        <w:rPr>
          <w:rFonts w:asciiTheme="minorHAnsi" w:hAnsiTheme="minorHAnsi" w:cstheme="minorHAnsi"/>
          <w:lang w:val="en-US"/>
        </w:rPr>
        <w:t> </w:t>
      </w:r>
    </w:p>
    <w:p w14:paraId="668D09B3" w14:textId="77777777" w:rsidR="0044583D" w:rsidRPr="0044583D" w:rsidRDefault="0044583D" w:rsidP="0044583D">
      <w:pPr>
        <w:pStyle w:val="NormalWeb"/>
        <w:rPr>
          <w:rFonts w:asciiTheme="minorHAnsi" w:hAnsiTheme="minorHAnsi" w:cstheme="minorHAnsi"/>
          <w:lang w:val="en-US"/>
        </w:rPr>
      </w:pPr>
      <w:r w:rsidRPr="0044583D">
        <w:rPr>
          <w:rStyle w:val="lev"/>
          <w:rFonts w:asciiTheme="minorHAnsi" w:hAnsiTheme="minorHAnsi" w:cstheme="minorHAnsi"/>
          <w:lang w:val="en-US"/>
        </w:rPr>
        <w:t>C- Steps</w:t>
      </w:r>
    </w:p>
    <w:p w14:paraId="4BBA0AAB" w14:textId="77777777" w:rsidR="0044583D" w:rsidRPr="0044583D" w:rsidRDefault="0044583D" w:rsidP="0044583D">
      <w:pPr>
        <w:pStyle w:val="NormalWeb"/>
        <w:rPr>
          <w:rFonts w:asciiTheme="minorHAnsi" w:hAnsiTheme="minorHAnsi" w:cstheme="minorHAnsi"/>
          <w:lang w:val="en-US"/>
        </w:rPr>
      </w:pPr>
      <w:r w:rsidRPr="0044583D">
        <w:rPr>
          <w:rStyle w:val="lev"/>
          <w:rFonts w:asciiTheme="minorHAnsi" w:hAnsiTheme="minorHAnsi" w:cstheme="minorHAnsi"/>
          <w:lang w:val="en-US"/>
        </w:rPr>
        <w:t>1- Identification of typical product(s)</w:t>
      </w:r>
    </w:p>
    <w:p w14:paraId="3B381884" w14:textId="77777777" w:rsidR="0044583D" w:rsidRPr="0044583D" w:rsidRDefault="0044583D" w:rsidP="0044583D">
      <w:pPr>
        <w:pStyle w:val="NormalWeb"/>
        <w:rPr>
          <w:rFonts w:asciiTheme="minorHAnsi" w:hAnsiTheme="minorHAnsi" w:cstheme="minorHAnsi"/>
          <w:lang w:val="en-US"/>
        </w:rPr>
      </w:pPr>
      <w:r w:rsidRPr="0044583D">
        <w:rPr>
          <w:rFonts w:asciiTheme="minorHAnsi" w:hAnsiTheme="minorHAnsi" w:cstheme="minorHAnsi"/>
          <w:lang w:val="en-US"/>
        </w:rPr>
        <w:t xml:space="preserve">This is the product or products proposed by the </w:t>
      </w:r>
      <w:proofErr w:type="spellStart"/>
      <w:r w:rsidRPr="0044583D">
        <w:rPr>
          <w:rFonts w:asciiTheme="minorHAnsi" w:hAnsiTheme="minorHAnsi" w:cstheme="minorHAnsi"/>
          <w:lang w:val="en-US"/>
        </w:rPr>
        <w:t>organisation</w:t>
      </w:r>
      <w:proofErr w:type="spellEnd"/>
      <w:r w:rsidRPr="0044583D">
        <w:rPr>
          <w:rFonts w:asciiTheme="minorHAnsi" w:hAnsiTheme="minorHAnsi" w:cstheme="minorHAnsi"/>
          <w:lang w:val="en-US"/>
        </w:rPr>
        <w:t>, chosen from the nomenclature of standard products. The unit carbon weight of the product-type divides the carbon required to produce it over the year by the quantity sold over the year. It takes three possible forms, depending on the type of product: carbons per unit of volume (cars, built area, barrels of oil, meals served, etc.) or carbons per monetary unit (financial services, distribution, etc.).</w:t>
      </w:r>
    </w:p>
    <w:p w14:paraId="721143FC" w14:textId="77777777" w:rsidR="0044583D" w:rsidRPr="0044583D" w:rsidRDefault="0044583D" w:rsidP="0044583D">
      <w:pPr>
        <w:pStyle w:val="NormalWeb"/>
        <w:rPr>
          <w:rFonts w:asciiTheme="minorHAnsi" w:hAnsiTheme="minorHAnsi" w:cstheme="minorHAnsi"/>
          <w:lang w:val="en-US"/>
        </w:rPr>
      </w:pPr>
      <w:r w:rsidRPr="0044583D">
        <w:rPr>
          <w:rFonts w:asciiTheme="minorHAnsi" w:hAnsiTheme="minorHAnsi" w:cstheme="minorHAnsi"/>
          <w:lang w:val="en-US"/>
        </w:rPr>
        <w:t> </w:t>
      </w:r>
    </w:p>
    <w:p w14:paraId="1B6A180E" w14:textId="77777777" w:rsidR="0044583D" w:rsidRPr="0044583D" w:rsidRDefault="0044583D" w:rsidP="0044583D">
      <w:pPr>
        <w:pStyle w:val="NormalWeb"/>
        <w:rPr>
          <w:rFonts w:asciiTheme="minorHAnsi" w:hAnsiTheme="minorHAnsi" w:cstheme="minorHAnsi"/>
          <w:lang w:val="en-US"/>
        </w:rPr>
      </w:pPr>
      <w:r w:rsidRPr="0044583D">
        <w:rPr>
          <w:rStyle w:val="lev"/>
          <w:rFonts w:asciiTheme="minorHAnsi" w:hAnsiTheme="minorHAnsi" w:cstheme="minorHAnsi"/>
          <w:lang w:val="en-US"/>
        </w:rPr>
        <w:t>2- Unit weight account</w:t>
      </w:r>
    </w:p>
    <w:p w14:paraId="50298E27" w14:textId="77777777" w:rsidR="0044583D" w:rsidRPr="0044583D" w:rsidRDefault="0044583D" w:rsidP="0044583D">
      <w:pPr>
        <w:pStyle w:val="NormalWeb"/>
        <w:rPr>
          <w:rFonts w:asciiTheme="minorHAnsi" w:hAnsiTheme="minorHAnsi" w:cstheme="minorHAnsi"/>
          <w:lang w:val="en-US"/>
        </w:rPr>
      </w:pPr>
      <w:r w:rsidRPr="0044583D">
        <w:rPr>
          <w:rFonts w:asciiTheme="minorHAnsi" w:hAnsiTheme="minorHAnsi" w:cstheme="minorHAnsi"/>
          <w:lang w:val="en-US"/>
        </w:rPr>
        <w:t xml:space="preserve">It gives the average carbon weight over the year of a unit of the standard product sold. An </w:t>
      </w:r>
      <w:proofErr w:type="spellStart"/>
      <w:r w:rsidRPr="0044583D">
        <w:rPr>
          <w:rFonts w:asciiTheme="minorHAnsi" w:hAnsiTheme="minorHAnsi" w:cstheme="minorHAnsi"/>
          <w:lang w:val="en-US"/>
        </w:rPr>
        <w:t>organisation</w:t>
      </w:r>
      <w:proofErr w:type="spellEnd"/>
      <w:r w:rsidRPr="0044583D">
        <w:rPr>
          <w:rFonts w:asciiTheme="minorHAnsi" w:hAnsiTheme="minorHAnsi" w:cstheme="minorHAnsi"/>
          <w:lang w:val="en-US"/>
        </w:rPr>
        <w:t xml:space="preserve"> offering several product types builds a sub-account for each one by breaking down the carbons needed to produce them. Unless justified, it follows the cost accounting keys for its monetary costs.</w:t>
      </w:r>
    </w:p>
    <w:p w14:paraId="653F496E" w14:textId="77777777" w:rsidR="0044583D" w:rsidRPr="0044583D" w:rsidRDefault="0044583D" w:rsidP="0044583D">
      <w:pPr>
        <w:pStyle w:val="NormalWeb"/>
        <w:rPr>
          <w:rFonts w:asciiTheme="minorHAnsi" w:hAnsiTheme="minorHAnsi" w:cstheme="minorHAnsi"/>
          <w:lang w:val="en-US"/>
        </w:rPr>
      </w:pPr>
      <w:r w:rsidRPr="0044583D">
        <w:rPr>
          <w:rFonts w:asciiTheme="minorHAnsi" w:hAnsiTheme="minorHAnsi" w:cstheme="minorHAnsi"/>
          <w:lang w:val="en-US"/>
        </w:rPr>
        <w:t> </w:t>
      </w:r>
    </w:p>
    <w:p w14:paraId="47F0E3F1" w14:textId="77777777" w:rsidR="0044583D" w:rsidRPr="0044583D" w:rsidRDefault="0044583D" w:rsidP="0044583D">
      <w:pPr>
        <w:pStyle w:val="NormalWeb"/>
        <w:rPr>
          <w:rFonts w:asciiTheme="minorHAnsi" w:hAnsiTheme="minorHAnsi" w:cstheme="minorHAnsi"/>
          <w:lang w:val="en-US"/>
        </w:rPr>
      </w:pPr>
      <w:r w:rsidRPr="0044583D">
        <w:rPr>
          <w:rStyle w:val="lev"/>
          <w:rFonts w:asciiTheme="minorHAnsi" w:hAnsiTheme="minorHAnsi" w:cstheme="minorHAnsi"/>
          <w:lang w:val="en-US"/>
        </w:rPr>
        <w:t xml:space="preserve">Weight of carbons required for </w:t>
      </w:r>
      <w:proofErr w:type="gramStart"/>
      <w:r w:rsidRPr="0044583D">
        <w:rPr>
          <w:rStyle w:val="lev"/>
          <w:rFonts w:asciiTheme="minorHAnsi" w:hAnsiTheme="minorHAnsi" w:cstheme="minorHAnsi"/>
          <w:lang w:val="en-US"/>
        </w:rPr>
        <w:t>production :</w:t>
      </w:r>
      <w:proofErr w:type="gramEnd"/>
    </w:p>
    <w:p w14:paraId="7F656C5D" w14:textId="77777777" w:rsidR="0044583D" w:rsidRPr="0044583D" w:rsidRDefault="0044583D" w:rsidP="0044583D">
      <w:pPr>
        <w:pStyle w:val="NormalWeb"/>
        <w:rPr>
          <w:rFonts w:asciiTheme="minorHAnsi" w:hAnsiTheme="minorHAnsi" w:cstheme="minorHAnsi"/>
          <w:lang w:val="en-US"/>
        </w:rPr>
      </w:pPr>
      <w:r w:rsidRPr="0044583D">
        <w:rPr>
          <w:rFonts w:asciiTheme="minorHAnsi" w:hAnsiTheme="minorHAnsi" w:cstheme="minorHAnsi"/>
          <w:lang w:val="en-US"/>
        </w:rPr>
        <w:t xml:space="preserve">-Each significant expense item in the monetary account is associated with its carbon weighting (excluding non-carbon expenses: loaded salaries, </w:t>
      </w:r>
      <w:proofErr w:type="gramStart"/>
      <w:r w:rsidRPr="0044583D">
        <w:rPr>
          <w:rFonts w:asciiTheme="minorHAnsi" w:hAnsiTheme="minorHAnsi" w:cstheme="minorHAnsi"/>
          <w:lang w:val="en-US"/>
        </w:rPr>
        <w:t>taxes</w:t>
      </w:r>
      <w:proofErr w:type="gramEnd"/>
      <w:r w:rsidRPr="0044583D">
        <w:rPr>
          <w:rFonts w:asciiTheme="minorHAnsi" w:hAnsiTheme="minorHAnsi" w:cstheme="minorHAnsi"/>
          <w:lang w:val="en-US"/>
        </w:rPr>
        <w:t xml:space="preserve"> and borrowings). The list of significant expenses still includes the typical weights of energy, construction, transport, office automation and heavy movable assets. It also includes standard products whose share (in euros) of purchases exceeds 10%. Non-significant costs can be valued globally using a single national monetary emission factor.</w:t>
      </w:r>
    </w:p>
    <w:p w14:paraId="70FB277D" w14:textId="77777777" w:rsidR="0044583D" w:rsidRPr="0044583D" w:rsidRDefault="0044583D" w:rsidP="0044583D">
      <w:pPr>
        <w:pStyle w:val="NormalWeb"/>
        <w:rPr>
          <w:rFonts w:asciiTheme="minorHAnsi" w:hAnsiTheme="minorHAnsi" w:cstheme="minorHAnsi"/>
          <w:lang w:val="en-US"/>
        </w:rPr>
      </w:pPr>
      <w:r w:rsidRPr="0044583D">
        <w:rPr>
          <w:rFonts w:asciiTheme="minorHAnsi" w:hAnsiTheme="minorHAnsi" w:cstheme="minorHAnsi"/>
          <w:lang w:val="en-US"/>
        </w:rPr>
        <w:lastRenderedPageBreak/>
        <w:t xml:space="preserve">-The carbon footprint of an expense line is calculated by multiplying a quantity by a unit weight supported by supplier invoices. Failing that, the </w:t>
      </w:r>
      <w:proofErr w:type="spellStart"/>
      <w:r w:rsidRPr="0044583D">
        <w:rPr>
          <w:rFonts w:asciiTheme="minorHAnsi" w:hAnsiTheme="minorHAnsi" w:cstheme="minorHAnsi"/>
          <w:lang w:val="en-US"/>
        </w:rPr>
        <w:t>organisation</w:t>
      </w:r>
      <w:proofErr w:type="spellEnd"/>
      <w:r w:rsidRPr="0044583D">
        <w:rPr>
          <w:rFonts w:asciiTheme="minorHAnsi" w:hAnsiTheme="minorHAnsi" w:cstheme="minorHAnsi"/>
          <w:lang w:val="en-US"/>
        </w:rPr>
        <w:t xml:space="preserve"> relies on a conservative unit weight from a reliable source.</w:t>
      </w:r>
    </w:p>
    <w:p w14:paraId="6E26E26A" w14:textId="77777777" w:rsidR="0044583D" w:rsidRPr="0044583D" w:rsidRDefault="0044583D" w:rsidP="0044583D">
      <w:pPr>
        <w:pStyle w:val="NormalWeb"/>
        <w:rPr>
          <w:rFonts w:asciiTheme="minorHAnsi" w:hAnsiTheme="minorHAnsi" w:cstheme="minorHAnsi"/>
          <w:lang w:val="en-US"/>
        </w:rPr>
      </w:pPr>
      <w:r w:rsidRPr="0044583D">
        <w:rPr>
          <w:rFonts w:asciiTheme="minorHAnsi" w:hAnsiTheme="minorHAnsi" w:cstheme="minorHAnsi"/>
          <w:lang w:val="en-US"/>
        </w:rPr>
        <w:t>-The account also records the carbon captured or emitted during production. a) other species (animals, plants, etc.) b) humans (clinkering to obtain cement, etc.). The weights are justified by carbon expertise.</w:t>
      </w:r>
    </w:p>
    <w:p w14:paraId="64C8EE06" w14:textId="77777777" w:rsidR="0044583D" w:rsidRPr="0044583D" w:rsidRDefault="0044583D" w:rsidP="0044583D">
      <w:pPr>
        <w:pStyle w:val="NormalWeb"/>
        <w:rPr>
          <w:rFonts w:asciiTheme="minorHAnsi" w:hAnsiTheme="minorHAnsi" w:cstheme="minorHAnsi"/>
          <w:lang w:val="en-US"/>
        </w:rPr>
      </w:pPr>
      <w:r w:rsidRPr="0044583D">
        <w:rPr>
          <w:rFonts w:asciiTheme="minorHAnsi" w:hAnsiTheme="minorHAnsi" w:cstheme="minorHAnsi"/>
          <w:lang w:val="en-US"/>
        </w:rPr>
        <w:t> </w:t>
      </w:r>
    </w:p>
    <w:p w14:paraId="0B603D37" w14:textId="77777777" w:rsidR="0044583D" w:rsidRPr="0044583D" w:rsidRDefault="0044583D" w:rsidP="0044583D">
      <w:pPr>
        <w:pStyle w:val="NormalWeb"/>
        <w:rPr>
          <w:rFonts w:asciiTheme="minorHAnsi" w:hAnsiTheme="minorHAnsi" w:cstheme="minorHAnsi"/>
          <w:lang w:val="en-US"/>
        </w:rPr>
      </w:pPr>
      <w:r w:rsidRPr="0044583D">
        <w:rPr>
          <w:rStyle w:val="lev"/>
          <w:rFonts w:asciiTheme="minorHAnsi" w:hAnsiTheme="minorHAnsi" w:cstheme="minorHAnsi"/>
          <w:lang w:val="en-US"/>
        </w:rPr>
        <w:t xml:space="preserve">Commitments over several financial years and carbon account to be passed </w:t>
      </w:r>
      <w:proofErr w:type="gramStart"/>
      <w:r w:rsidRPr="0044583D">
        <w:rPr>
          <w:rStyle w:val="lev"/>
          <w:rFonts w:asciiTheme="minorHAnsi" w:hAnsiTheme="minorHAnsi" w:cstheme="minorHAnsi"/>
          <w:lang w:val="en-US"/>
        </w:rPr>
        <w:t>on</w:t>
      </w:r>
      <w:proofErr w:type="gramEnd"/>
    </w:p>
    <w:p w14:paraId="06192314" w14:textId="77777777" w:rsidR="0044583D" w:rsidRPr="0044583D" w:rsidRDefault="0044583D" w:rsidP="0044583D">
      <w:pPr>
        <w:pStyle w:val="NormalWeb"/>
        <w:rPr>
          <w:rFonts w:asciiTheme="minorHAnsi" w:hAnsiTheme="minorHAnsi" w:cstheme="minorHAnsi"/>
          <w:lang w:val="en-US"/>
        </w:rPr>
      </w:pPr>
      <w:r w:rsidRPr="0044583D">
        <w:rPr>
          <w:rFonts w:asciiTheme="minorHAnsi" w:hAnsiTheme="minorHAnsi" w:cstheme="minorHAnsi"/>
          <w:lang w:val="en-US"/>
        </w:rPr>
        <w:t xml:space="preserve">The account records the exceptions to cash accounting, which are heavy production work-in-progress </w:t>
      </w:r>
      <w:proofErr w:type="spellStart"/>
      <w:r w:rsidRPr="0044583D">
        <w:rPr>
          <w:rFonts w:asciiTheme="minorHAnsi" w:hAnsiTheme="minorHAnsi" w:cstheme="minorHAnsi"/>
          <w:lang w:val="en-US"/>
        </w:rPr>
        <w:t>capitalised</w:t>
      </w:r>
      <w:proofErr w:type="spellEnd"/>
      <w:r w:rsidRPr="0044583D">
        <w:rPr>
          <w:rFonts w:asciiTheme="minorHAnsi" w:hAnsiTheme="minorHAnsi" w:cstheme="minorHAnsi"/>
          <w:lang w:val="en-US"/>
        </w:rPr>
        <w:t xml:space="preserve"> in the monetary accounts and heavy property and movable assets used in production, for which smoothing over several financial years is essential if the unit weights are to be accurate.</w:t>
      </w:r>
    </w:p>
    <w:p w14:paraId="0D635D4F" w14:textId="77777777" w:rsidR="0044583D" w:rsidRPr="0044583D" w:rsidRDefault="0044583D" w:rsidP="0044583D">
      <w:pPr>
        <w:pStyle w:val="NormalWeb"/>
        <w:rPr>
          <w:rFonts w:asciiTheme="minorHAnsi" w:hAnsiTheme="minorHAnsi" w:cstheme="minorHAnsi"/>
          <w:lang w:val="en-US"/>
        </w:rPr>
      </w:pPr>
      <w:r w:rsidRPr="0044583D">
        <w:rPr>
          <w:rFonts w:asciiTheme="minorHAnsi" w:hAnsiTheme="minorHAnsi" w:cstheme="minorHAnsi"/>
          <w:lang w:val="en-US"/>
        </w:rPr>
        <w:t>-The weight of property assets and their major works are included and depreciated by twentieths; also included are those present in the opening balance sheet of the monetary account for the first year of enlarged accounting (pro rata for the remaining years).</w:t>
      </w:r>
    </w:p>
    <w:p w14:paraId="37FF452A" w14:textId="77777777" w:rsidR="0044583D" w:rsidRPr="0044583D" w:rsidRDefault="0044583D" w:rsidP="0044583D">
      <w:pPr>
        <w:pStyle w:val="NormalWeb"/>
        <w:rPr>
          <w:rFonts w:asciiTheme="minorHAnsi" w:hAnsiTheme="minorHAnsi" w:cstheme="minorHAnsi"/>
          <w:lang w:val="en-US"/>
        </w:rPr>
      </w:pPr>
      <w:r w:rsidRPr="0044583D">
        <w:rPr>
          <w:rStyle w:val="lev"/>
          <w:rFonts w:asciiTheme="minorHAnsi" w:hAnsiTheme="minorHAnsi" w:cstheme="minorHAnsi"/>
          <w:lang w:val="en-US"/>
        </w:rPr>
        <w:t>-</w:t>
      </w:r>
      <w:r w:rsidRPr="0044583D">
        <w:rPr>
          <w:rFonts w:asciiTheme="minorHAnsi" w:hAnsiTheme="minorHAnsi" w:cstheme="minorHAnsi"/>
          <w:lang w:val="en-US"/>
        </w:rPr>
        <w:t xml:space="preserve">Weights of significant fixed assets in carbon are included: vehicles, machinery, software (including, in the first year, significant fixed assets from the two previous years) but not small equipment stocks or office equipment. To speed up the impact of carbon emissions, significant new fixed assets are only </w:t>
      </w:r>
      <w:proofErr w:type="gramStart"/>
      <w:r w:rsidRPr="0044583D">
        <w:rPr>
          <w:rFonts w:asciiTheme="minorHAnsi" w:hAnsiTheme="minorHAnsi" w:cstheme="minorHAnsi"/>
          <w:lang w:val="en-US"/>
        </w:rPr>
        <w:t>taken into account</w:t>
      </w:r>
      <w:proofErr w:type="gramEnd"/>
      <w:r w:rsidRPr="0044583D">
        <w:rPr>
          <w:rFonts w:asciiTheme="minorHAnsi" w:hAnsiTheme="minorHAnsi" w:cstheme="minorHAnsi"/>
          <w:lang w:val="en-US"/>
        </w:rPr>
        <w:t xml:space="preserve"> (globally) if their total carbon weight exceeds 30% of the total weight of other purchases for the year. Each annual line is allocated in thirds to the unit weight account.</w:t>
      </w:r>
    </w:p>
    <w:p w14:paraId="570D2F34" w14:textId="77777777" w:rsidR="0044583D" w:rsidRPr="0044583D" w:rsidRDefault="0044583D" w:rsidP="0044583D">
      <w:pPr>
        <w:pStyle w:val="NormalWeb"/>
        <w:rPr>
          <w:rFonts w:asciiTheme="minorHAnsi" w:hAnsiTheme="minorHAnsi" w:cstheme="minorHAnsi"/>
          <w:lang w:val="en-US"/>
        </w:rPr>
      </w:pPr>
      <w:r w:rsidRPr="0044583D">
        <w:rPr>
          <w:rFonts w:asciiTheme="minorHAnsi" w:hAnsiTheme="minorHAnsi" w:cstheme="minorHAnsi"/>
          <w:lang w:val="en-US"/>
        </w:rPr>
        <w:t>-Carbons not yet passed on from a sold asset are passed on to the buyer.</w:t>
      </w:r>
    </w:p>
    <w:p w14:paraId="2FD8BAA7" w14:textId="77777777" w:rsidR="0044583D" w:rsidRPr="0044583D" w:rsidRDefault="0044583D" w:rsidP="0044583D">
      <w:pPr>
        <w:pStyle w:val="NormalWeb"/>
        <w:rPr>
          <w:rFonts w:asciiTheme="minorHAnsi" w:hAnsiTheme="minorHAnsi" w:cstheme="minorHAnsi"/>
          <w:lang w:val="en-US"/>
        </w:rPr>
      </w:pPr>
      <w:r w:rsidRPr="0044583D">
        <w:rPr>
          <w:rFonts w:asciiTheme="minorHAnsi" w:hAnsiTheme="minorHAnsi" w:cstheme="minorHAnsi"/>
          <w:lang w:val="en-US"/>
        </w:rPr>
        <w:t> </w:t>
      </w:r>
    </w:p>
    <w:p w14:paraId="287D6D90" w14:textId="77777777" w:rsidR="0044583D" w:rsidRPr="0044583D" w:rsidRDefault="0044583D" w:rsidP="0044583D">
      <w:pPr>
        <w:pStyle w:val="NormalWeb"/>
        <w:rPr>
          <w:rFonts w:asciiTheme="minorHAnsi" w:hAnsiTheme="minorHAnsi" w:cstheme="minorHAnsi"/>
          <w:lang w:val="en-US"/>
        </w:rPr>
      </w:pPr>
      <w:r w:rsidRPr="0044583D">
        <w:rPr>
          <w:rStyle w:val="lev"/>
          <w:rFonts w:asciiTheme="minorHAnsi" w:hAnsiTheme="minorHAnsi" w:cstheme="minorHAnsi"/>
          <w:lang w:val="en-US"/>
        </w:rPr>
        <w:t>3- Decarbonation account</w:t>
      </w:r>
      <w:r w:rsidRPr="0044583D">
        <w:rPr>
          <w:rFonts w:asciiTheme="minorHAnsi" w:hAnsiTheme="minorHAnsi" w:cstheme="minorHAnsi"/>
          <w:lang w:val="en-US"/>
        </w:rPr>
        <w:t xml:space="preserve"> (from the second financial year)</w:t>
      </w:r>
    </w:p>
    <w:p w14:paraId="6EE0FF6E" w14:textId="77777777" w:rsidR="0044583D" w:rsidRPr="0044583D" w:rsidRDefault="0044583D" w:rsidP="0044583D">
      <w:pPr>
        <w:pStyle w:val="NormalWeb"/>
        <w:rPr>
          <w:rFonts w:asciiTheme="minorHAnsi" w:hAnsiTheme="minorHAnsi" w:cstheme="minorHAnsi"/>
          <w:lang w:val="en-US"/>
        </w:rPr>
      </w:pPr>
      <w:r w:rsidRPr="0044583D">
        <w:rPr>
          <w:rFonts w:asciiTheme="minorHAnsi" w:hAnsiTheme="minorHAnsi" w:cstheme="minorHAnsi"/>
          <w:lang w:val="en-US"/>
        </w:rPr>
        <w:t xml:space="preserve">It shows the progress (or decline) of the </w:t>
      </w:r>
      <w:proofErr w:type="spellStart"/>
      <w:r w:rsidRPr="0044583D">
        <w:rPr>
          <w:rFonts w:asciiTheme="minorHAnsi" w:hAnsiTheme="minorHAnsi" w:cstheme="minorHAnsi"/>
          <w:lang w:val="en-US"/>
        </w:rPr>
        <w:t>organisation's</w:t>
      </w:r>
      <w:proofErr w:type="spellEnd"/>
      <w:r w:rsidRPr="0044583D">
        <w:rPr>
          <w:rFonts w:asciiTheme="minorHAnsi" w:hAnsiTheme="minorHAnsi" w:cstheme="minorHAnsi"/>
          <w:lang w:val="en-US"/>
        </w:rPr>
        <w:t xml:space="preserve"> carbon impact on the atmosphere (from one year to the next). It's the sum </w:t>
      </w:r>
      <w:proofErr w:type="gramStart"/>
      <w:r w:rsidRPr="0044583D">
        <w:rPr>
          <w:rFonts w:asciiTheme="minorHAnsi" w:hAnsiTheme="minorHAnsi" w:cstheme="minorHAnsi"/>
          <w:lang w:val="en-US"/>
        </w:rPr>
        <w:t>of :</w:t>
      </w:r>
      <w:proofErr w:type="gramEnd"/>
    </w:p>
    <w:p w14:paraId="48B42229" w14:textId="77777777" w:rsidR="0044583D" w:rsidRPr="0044583D" w:rsidRDefault="0044583D" w:rsidP="0044583D">
      <w:pPr>
        <w:pStyle w:val="NormalWeb"/>
        <w:rPr>
          <w:rFonts w:asciiTheme="minorHAnsi" w:hAnsiTheme="minorHAnsi" w:cstheme="minorHAnsi"/>
          <w:lang w:val="en-US"/>
        </w:rPr>
      </w:pPr>
      <w:r w:rsidRPr="0044583D">
        <w:rPr>
          <w:rFonts w:asciiTheme="minorHAnsi" w:hAnsiTheme="minorHAnsi" w:cstheme="minorHAnsi"/>
          <w:lang w:val="en-US"/>
        </w:rPr>
        <w:t xml:space="preserve">- </w:t>
      </w:r>
      <w:r w:rsidRPr="0044583D">
        <w:rPr>
          <w:rStyle w:val="lev"/>
          <w:rFonts w:asciiTheme="minorHAnsi" w:hAnsiTheme="minorHAnsi" w:cstheme="minorHAnsi"/>
          <w:lang w:val="en-US"/>
        </w:rPr>
        <w:t xml:space="preserve">The PRODUCTIVITY </w:t>
      </w:r>
      <w:proofErr w:type="gramStart"/>
      <w:r w:rsidRPr="0044583D">
        <w:rPr>
          <w:rStyle w:val="lev"/>
          <w:rFonts w:asciiTheme="minorHAnsi" w:hAnsiTheme="minorHAnsi" w:cstheme="minorHAnsi"/>
          <w:lang w:val="en-US"/>
        </w:rPr>
        <w:t>effect</w:t>
      </w:r>
      <w:r w:rsidRPr="0044583D">
        <w:rPr>
          <w:rFonts w:asciiTheme="minorHAnsi" w:hAnsiTheme="minorHAnsi" w:cstheme="minorHAnsi"/>
          <w:lang w:val="en-US"/>
        </w:rPr>
        <w:t xml:space="preserve"> :</w:t>
      </w:r>
      <w:proofErr w:type="gramEnd"/>
      <w:r w:rsidRPr="0044583D">
        <w:rPr>
          <w:rFonts w:asciiTheme="minorHAnsi" w:hAnsiTheme="minorHAnsi" w:cstheme="minorHAnsi"/>
          <w:lang w:val="en-US"/>
        </w:rPr>
        <w:t xml:space="preserve"> lower purchases for the same quantities sold. The gain in </w:t>
      </w:r>
      <w:r w:rsidRPr="0044583D">
        <w:rPr>
          <w:rFonts w:asciiTheme="minorHAnsi" w:hAnsiTheme="minorHAnsi" w:cstheme="minorHAnsi"/>
          <w:u w:val="single"/>
          <w:lang w:val="en-US"/>
        </w:rPr>
        <w:t>quantities</w:t>
      </w:r>
      <w:r w:rsidRPr="0044583D">
        <w:rPr>
          <w:rFonts w:asciiTheme="minorHAnsi" w:hAnsiTheme="minorHAnsi" w:cstheme="minorHAnsi"/>
          <w:lang w:val="en-US"/>
        </w:rPr>
        <w:t xml:space="preserve"> purchased goes to the </w:t>
      </w:r>
      <w:proofErr w:type="spellStart"/>
      <w:r w:rsidRPr="0044583D">
        <w:rPr>
          <w:rFonts w:asciiTheme="minorHAnsi" w:hAnsiTheme="minorHAnsi" w:cstheme="minorHAnsi"/>
          <w:lang w:val="en-US"/>
        </w:rPr>
        <w:t>organisation</w:t>
      </w:r>
      <w:proofErr w:type="spellEnd"/>
      <w:r w:rsidRPr="0044583D">
        <w:rPr>
          <w:rFonts w:asciiTheme="minorHAnsi" w:hAnsiTheme="minorHAnsi" w:cstheme="minorHAnsi"/>
          <w:lang w:val="en-US"/>
        </w:rPr>
        <w:t xml:space="preserve">, the gain in </w:t>
      </w:r>
      <w:r w:rsidRPr="0044583D">
        <w:rPr>
          <w:rFonts w:asciiTheme="minorHAnsi" w:hAnsiTheme="minorHAnsi" w:cstheme="minorHAnsi"/>
          <w:u w:val="single"/>
          <w:lang w:val="en-US"/>
        </w:rPr>
        <w:t>weight</w:t>
      </w:r>
      <w:r w:rsidRPr="0044583D">
        <w:rPr>
          <w:rFonts w:asciiTheme="minorHAnsi" w:hAnsiTheme="minorHAnsi" w:cstheme="minorHAnsi"/>
          <w:lang w:val="en-US"/>
        </w:rPr>
        <w:t xml:space="preserve"> to the supplier chain. This is the sum of the variation in the quantity of each purchase for a unit of product sold, multiplied by the carbon weight of the purchase (plus any variation in the net balance of captures and production emissions).</w:t>
      </w:r>
    </w:p>
    <w:p w14:paraId="418F5AD5" w14:textId="77777777" w:rsidR="0044583D" w:rsidRPr="0044583D" w:rsidRDefault="0044583D" w:rsidP="0044583D">
      <w:pPr>
        <w:pStyle w:val="NormalWeb"/>
        <w:rPr>
          <w:rFonts w:asciiTheme="minorHAnsi" w:hAnsiTheme="minorHAnsi" w:cstheme="minorHAnsi"/>
          <w:lang w:val="en-US"/>
        </w:rPr>
      </w:pPr>
      <w:r w:rsidRPr="0044583D">
        <w:rPr>
          <w:rFonts w:asciiTheme="minorHAnsi" w:hAnsiTheme="minorHAnsi" w:cstheme="minorHAnsi"/>
          <w:lang w:val="en-US"/>
        </w:rPr>
        <w:t xml:space="preserve">- </w:t>
      </w:r>
      <w:r w:rsidRPr="0044583D">
        <w:rPr>
          <w:rStyle w:val="lev"/>
          <w:rFonts w:asciiTheme="minorHAnsi" w:hAnsiTheme="minorHAnsi" w:cstheme="minorHAnsi"/>
          <w:lang w:val="en-US"/>
        </w:rPr>
        <w:t xml:space="preserve">The SUBSTITUTION </w:t>
      </w:r>
      <w:proofErr w:type="gramStart"/>
      <w:r w:rsidRPr="0044583D">
        <w:rPr>
          <w:rStyle w:val="lev"/>
          <w:rFonts w:asciiTheme="minorHAnsi" w:hAnsiTheme="minorHAnsi" w:cstheme="minorHAnsi"/>
          <w:lang w:val="en-US"/>
        </w:rPr>
        <w:t>effect</w:t>
      </w:r>
      <w:r w:rsidRPr="0044583D">
        <w:rPr>
          <w:rFonts w:asciiTheme="minorHAnsi" w:hAnsiTheme="minorHAnsi" w:cstheme="minorHAnsi"/>
          <w:lang w:val="en-US"/>
        </w:rPr>
        <w:t xml:space="preserve"> :</w:t>
      </w:r>
      <w:proofErr w:type="gramEnd"/>
      <w:r w:rsidRPr="0044583D">
        <w:rPr>
          <w:rFonts w:asciiTheme="minorHAnsi" w:hAnsiTheme="minorHAnsi" w:cstheme="minorHAnsi"/>
          <w:lang w:val="en-US"/>
        </w:rPr>
        <w:t xml:space="preserve"> the quantity sold of a lighter-than-average product increases, or of a heavier product decreases (measurement requires public statistics on the average weight of producers of this product). This is the variation in quantity multiplied by the difference between the unit weight and the average weight.</w:t>
      </w:r>
    </w:p>
    <w:p w14:paraId="339C7259" w14:textId="77777777" w:rsidR="0044583D" w:rsidRPr="0044583D" w:rsidRDefault="0044583D" w:rsidP="0044583D">
      <w:pPr>
        <w:pStyle w:val="NormalWeb"/>
        <w:rPr>
          <w:rFonts w:asciiTheme="minorHAnsi" w:hAnsiTheme="minorHAnsi" w:cstheme="minorHAnsi"/>
          <w:lang w:val="en-US"/>
        </w:rPr>
      </w:pPr>
      <w:r w:rsidRPr="0044583D">
        <w:rPr>
          <w:rStyle w:val="lev"/>
          <w:rFonts w:asciiTheme="minorHAnsi" w:hAnsiTheme="minorHAnsi" w:cstheme="minorHAnsi"/>
          <w:lang w:val="en-US"/>
        </w:rPr>
        <w:lastRenderedPageBreak/>
        <w:t xml:space="preserve">- The INNOVATION </w:t>
      </w:r>
      <w:proofErr w:type="gramStart"/>
      <w:r w:rsidRPr="0044583D">
        <w:rPr>
          <w:rStyle w:val="lev"/>
          <w:rFonts w:asciiTheme="minorHAnsi" w:hAnsiTheme="minorHAnsi" w:cstheme="minorHAnsi"/>
          <w:lang w:val="en-US"/>
        </w:rPr>
        <w:t>effect</w:t>
      </w:r>
      <w:r w:rsidRPr="0044583D">
        <w:rPr>
          <w:rFonts w:asciiTheme="minorHAnsi" w:hAnsiTheme="minorHAnsi" w:cstheme="minorHAnsi"/>
          <w:lang w:val="en-US"/>
        </w:rPr>
        <w:t xml:space="preserve"> :</w:t>
      </w:r>
      <w:proofErr w:type="gramEnd"/>
      <w:r w:rsidRPr="0044583D">
        <w:rPr>
          <w:rFonts w:asciiTheme="minorHAnsi" w:hAnsiTheme="minorHAnsi" w:cstheme="minorHAnsi"/>
          <w:lang w:val="en-US"/>
        </w:rPr>
        <w:t xml:space="preserve"> an innovation that avoids carbon emissions for a partner (the measure assumes an agreement with the partner to share the carbon emissions avoided). A document with the same information as an invoice shows the fall in the annual result of one partner and the rise in the result of the other partner.</w:t>
      </w:r>
    </w:p>
    <w:p w14:paraId="13DB996D" w14:textId="77777777" w:rsidR="0044583D" w:rsidRPr="0044583D" w:rsidRDefault="0044583D" w:rsidP="0044583D">
      <w:pPr>
        <w:pStyle w:val="NormalWeb"/>
        <w:rPr>
          <w:rFonts w:asciiTheme="minorHAnsi" w:hAnsiTheme="minorHAnsi" w:cstheme="minorHAnsi"/>
          <w:lang w:val="en-US"/>
        </w:rPr>
      </w:pPr>
      <w:r w:rsidRPr="0044583D">
        <w:rPr>
          <w:rFonts w:asciiTheme="minorHAnsi" w:hAnsiTheme="minorHAnsi" w:cstheme="minorHAnsi"/>
          <w:lang w:val="en-US"/>
        </w:rPr>
        <w:t>The account consolidates the decarbonation results of any subsidiaries or holdings, transposing the rules for consolidating monetary results. A financial institution may apply the same method to its loan portfolio, specifying that it is a reporting and not an accounting measure.</w:t>
      </w:r>
    </w:p>
    <w:p w14:paraId="6A999CF2" w14:textId="77777777" w:rsidR="0044583D" w:rsidRPr="0044583D" w:rsidRDefault="0044583D" w:rsidP="0044583D">
      <w:pPr>
        <w:pStyle w:val="NormalWeb"/>
        <w:rPr>
          <w:rFonts w:asciiTheme="minorHAnsi" w:hAnsiTheme="minorHAnsi" w:cstheme="minorHAnsi"/>
          <w:lang w:val="en-US"/>
        </w:rPr>
      </w:pPr>
      <w:r w:rsidRPr="0044583D">
        <w:rPr>
          <w:rFonts w:asciiTheme="minorHAnsi" w:hAnsiTheme="minorHAnsi" w:cstheme="minorHAnsi"/>
          <w:lang w:val="en-US"/>
        </w:rPr>
        <w:t> </w:t>
      </w:r>
    </w:p>
    <w:p w14:paraId="2226F284" w14:textId="77777777" w:rsidR="0044583D" w:rsidRPr="0044583D" w:rsidRDefault="0044583D" w:rsidP="0044583D">
      <w:pPr>
        <w:pStyle w:val="NormalWeb"/>
        <w:rPr>
          <w:rFonts w:asciiTheme="minorHAnsi" w:hAnsiTheme="minorHAnsi" w:cstheme="minorHAnsi"/>
          <w:lang w:val="en-US"/>
        </w:rPr>
      </w:pPr>
      <w:r w:rsidRPr="0044583D">
        <w:rPr>
          <w:rStyle w:val="lev"/>
          <w:rFonts w:asciiTheme="minorHAnsi" w:hAnsiTheme="minorHAnsi" w:cstheme="minorHAnsi"/>
          <w:lang w:val="en-US"/>
        </w:rPr>
        <w:t>4- Impact of carbon unit weights on customers</w:t>
      </w:r>
    </w:p>
    <w:p w14:paraId="4B327C6E" w14:textId="77777777" w:rsidR="0044583D" w:rsidRPr="0044583D" w:rsidRDefault="0044583D" w:rsidP="0044583D">
      <w:pPr>
        <w:pStyle w:val="NormalWeb"/>
        <w:rPr>
          <w:rFonts w:asciiTheme="minorHAnsi" w:hAnsiTheme="minorHAnsi" w:cstheme="minorHAnsi"/>
          <w:lang w:val="en-US"/>
        </w:rPr>
      </w:pPr>
      <w:r w:rsidRPr="0044583D">
        <w:rPr>
          <w:rFonts w:asciiTheme="minorHAnsi" w:hAnsiTheme="minorHAnsi" w:cstheme="minorHAnsi"/>
          <w:lang w:val="en-US"/>
        </w:rPr>
        <w:t xml:space="preserve">Customers receive the quantity and unit weight (2) taken from the accounts on their invoice (or otherwise). As the unit weight is only known at the end of the financial year, the </w:t>
      </w:r>
      <w:proofErr w:type="spellStart"/>
      <w:r w:rsidRPr="0044583D">
        <w:rPr>
          <w:rFonts w:asciiTheme="minorHAnsi" w:hAnsiTheme="minorHAnsi" w:cstheme="minorHAnsi"/>
          <w:lang w:val="en-US"/>
        </w:rPr>
        <w:t>organisation</w:t>
      </w:r>
      <w:proofErr w:type="spellEnd"/>
      <w:r w:rsidRPr="0044583D">
        <w:rPr>
          <w:rFonts w:asciiTheme="minorHAnsi" w:hAnsiTheme="minorHAnsi" w:cstheme="minorHAnsi"/>
          <w:lang w:val="en-US"/>
        </w:rPr>
        <w:t xml:space="preserve"> can choose between two methods.</w:t>
      </w:r>
    </w:p>
    <w:p w14:paraId="6ADC76ED" w14:textId="77777777" w:rsidR="0044583D" w:rsidRPr="0044583D" w:rsidRDefault="0044583D" w:rsidP="0044583D">
      <w:pPr>
        <w:pStyle w:val="NormalWeb"/>
        <w:rPr>
          <w:rFonts w:asciiTheme="minorHAnsi" w:hAnsiTheme="minorHAnsi" w:cstheme="minorHAnsi"/>
          <w:lang w:val="en-US"/>
        </w:rPr>
      </w:pPr>
      <w:r w:rsidRPr="0044583D">
        <w:rPr>
          <w:rFonts w:asciiTheme="minorHAnsi" w:hAnsiTheme="minorHAnsi" w:cstheme="minorHAnsi"/>
          <w:lang w:val="en-US"/>
        </w:rPr>
        <w:t>-Indicate the unit weight drawn from the last known account, from the moment it is known until the unit weight for the following financial year is known.</w:t>
      </w:r>
    </w:p>
    <w:p w14:paraId="26CB62AD" w14:textId="77777777" w:rsidR="0044583D" w:rsidRPr="0044583D" w:rsidRDefault="0044583D" w:rsidP="0044583D">
      <w:pPr>
        <w:pStyle w:val="NormalWeb"/>
        <w:rPr>
          <w:rFonts w:asciiTheme="minorHAnsi" w:hAnsiTheme="minorHAnsi" w:cstheme="minorHAnsi"/>
          <w:lang w:val="en-US"/>
        </w:rPr>
      </w:pPr>
      <w:r w:rsidRPr="0044583D">
        <w:rPr>
          <w:rFonts w:asciiTheme="minorHAnsi" w:hAnsiTheme="minorHAnsi" w:cstheme="minorHAnsi"/>
          <w:lang w:val="en-US"/>
        </w:rPr>
        <w:t xml:space="preserve">-Enter a smoothed weight and plot the difference between the book weight and the smoothed weight. The </w:t>
      </w:r>
      <w:proofErr w:type="spellStart"/>
      <w:r w:rsidRPr="0044583D">
        <w:rPr>
          <w:rFonts w:asciiTheme="minorHAnsi" w:hAnsiTheme="minorHAnsi" w:cstheme="minorHAnsi"/>
          <w:lang w:val="en-US"/>
        </w:rPr>
        <w:t>organisation</w:t>
      </w:r>
      <w:proofErr w:type="spellEnd"/>
      <w:r w:rsidRPr="0044583D">
        <w:rPr>
          <w:rFonts w:asciiTheme="minorHAnsi" w:hAnsiTheme="minorHAnsi" w:cstheme="minorHAnsi"/>
          <w:lang w:val="en-US"/>
        </w:rPr>
        <w:t xml:space="preserve"> is doing its utmost to ensure that the cumulative gap approaches zero.</w:t>
      </w:r>
    </w:p>
    <w:p w14:paraId="639554FF" w14:textId="77777777" w:rsidR="0044583D" w:rsidRPr="0044583D" w:rsidRDefault="0044583D" w:rsidP="0044583D">
      <w:pPr>
        <w:pStyle w:val="NormalWeb"/>
        <w:rPr>
          <w:rFonts w:asciiTheme="minorHAnsi" w:hAnsiTheme="minorHAnsi" w:cstheme="minorHAnsi"/>
          <w:lang w:val="en-US"/>
        </w:rPr>
      </w:pPr>
      <w:r w:rsidRPr="0044583D">
        <w:rPr>
          <w:rFonts w:asciiTheme="minorHAnsi" w:hAnsiTheme="minorHAnsi" w:cstheme="minorHAnsi"/>
          <w:lang w:val="en-US"/>
        </w:rPr>
        <w:t> </w:t>
      </w:r>
    </w:p>
    <w:p w14:paraId="72EAA5C8" w14:textId="77777777" w:rsidR="0044583D" w:rsidRPr="0044583D" w:rsidRDefault="0044583D" w:rsidP="0044583D">
      <w:pPr>
        <w:rPr>
          <w:rFonts w:asciiTheme="minorHAnsi" w:hAnsiTheme="minorHAnsi" w:cstheme="minorHAnsi"/>
          <w:lang w:val="en-US"/>
        </w:rPr>
      </w:pPr>
    </w:p>
    <w:p w14:paraId="3F10E64E" w14:textId="109DB433" w:rsidR="00BD31A2" w:rsidRPr="0044583D" w:rsidRDefault="00BD31A2" w:rsidP="0044583D">
      <w:pPr>
        <w:pStyle w:val="Paragraphedeliste"/>
        <w:jc w:val="both"/>
        <w:textAlignment w:val="baseline"/>
        <w:rPr>
          <w:rFonts w:asciiTheme="minorHAnsi" w:hAnsiTheme="minorHAnsi" w:cstheme="minorHAnsi"/>
          <w:color w:val="000000" w:themeColor="text1"/>
          <w:sz w:val="24"/>
          <w:szCs w:val="24"/>
          <w:lang w:val="en-US"/>
        </w:rPr>
      </w:pPr>
    </w:p>
    <w:sectPr w:rsidR="00BD31A2" w:rsidRPr="004458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674B"/>
    <w:multiLevelType w:val="hybridMultilevel"/>
    <w:tmpl w:val="A888F52C"/>
    <w:lvl w:ilvl="0" w:tplc="57D05454">
      <w:start w:val="1"/>
      <w:numFmt w:val="decimal"/>
      <w:lvlText w:val="%1-"/>
      <w:lvlJc w:val="left"/>
      <w:pPr>
        <w:ind w:left="720" w:hanging="360"/>
      </w:pPr>
      <w:rPr>
        <w:rFonts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7B5DCA"/>
    <w:multiLevelType w:val="hybridMultilevel"/>
    <w:tmpl w:val="BF7211CC"/>
    <w:lvl w:ilvl="0" w:tplc="FFFFFFFF">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2F6C7C"/>
    <w:multiLevelType w:val="hybridMultilevel"/>
    <w:tmpl w:val="5E4CFFF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82122D7"/>
    <w:multiLevelType w:val="hybridMultilevel"/>
    <w:tmpl w:val="00A2A00C"/>
    <w:lvl w:ilvl="0" w:tplc="48B005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B1C01CE"/>
    <w:multiLevelType w:val="hybridMultilevel"/>
    <w:tmpl w:val="0F069CDE"/>
    <w:lvl w:ilvl="0" w:tplc="040C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C6E2B5F"/>
    <w:multiLevelType w:val="hybridMultilevel"/>
    <w:tmpl w:val="11961FA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6169E6"/>
    <w:multiLevelType w:val="hybridMultilevel"/>
    <w:tmpl w:val="CA5E20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560CD9"/>
    <w:multiLevelType w:val="hybridMultilevel"/>
    <w:tmpl w:val="4540356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4B18CF"/>
    <w:multiLevelType w:val="hybridMultilevel"/>
    <w:tmpl w:val="CDF26C14"/>
    <w:lvl w:ilvl="0" w:tplc="04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AB7469E"/>
    <w:multiLevelType w:val="hybridMultilevel"/>
    <w:tmpl w:val="CD1058E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79407B"/>
    <w:multiLevelType w:val="hybridMultilevel"/>
    <w:tmpl w:val="E31C2B30"/>
    <w:lvl w:ilvl="0" w:tplc="486CDAC2">
      <w:start w:val="1"/>
      <w:numFmt w:val="decimal"/>
      <w:lvlText w:val="(%1)"/>
      <w:lvlJc w:val="left"/>
      <w:pPr>
        <w:tabs>
          <w:tab w:val="num" w:pos="720"/>
        </w:tabs>
        <w:ind w:left="720" w:hanging="360"/>
      </w:pPr>
    </w:lvl>
    <w:lvl w:ilvl="1" w:tplc="CB54EFEE" w:tentative="1">
      <w:start w:val="1"/>
      <w:numFmt w:val="decimal"/>
      <w:lvlText w:val="(%2)"/>
      <w:lvlJc w:val="left"/>
      <w:pPr>
        <w:tabs>
          <w:tab w:val="num" w:pos="1440"/>
        </w:tabs>
        <w:ind w:left="1440" w:hanging="360"/>
      </w:pPr>
    </w:lvl>
    <w:lvl w:ilvl="2" w:tplc="376EDC5A" w:tentative="1">
      <w:start w:val="1"/>
      <w:numFmt w:val="decimal"/>
      <w:lvlText w:val="(%3)"/>
      <w:lvlJc w:val="left"/>
      <w:pPr>
        <w:tabs>
          <w:tab w:val="num" w:pos="2160"/>
        </w:tabs>
        <w:ind w:left="2160" w:hanging="360"/>
      </w:pPr>
    </w:lvl>
    <w:lvl w:ilvl="3" w:tplc="2CA636A0" w:tentative="1">
      <w:start w:val="1"/>
      <w:numFmt w:val="decimal"/>
      <w:lvlText w:val="(%4)"/>
      <w:lvlJc w:val="left"/>
      <w:pPr>
        <w:tabs>
          <w:tab w:val="num" w:pos="2880"/>
        </w:tabs>
        <w:ind w:left="2880" w:hanging="360"/>
      </w:pPr>
    </w:lvl>
    <w:lvl w:ilvl="4" w:tplc="1CFE7C18" w:tentative="1">
      <w:start w:val="1"/>
      <w:numFmt w:val="decimal"/>
      <w:lvlText w:val="(%5)"/>
      <w:lvlJc w:val="left"/>
      <w:pPr>
        <w:tabs>
          <w:tab w:val="num" w:pos="3600"/>
        </w:tabs>
        <w:ind w:left="3600" w:hanging="360"/>
      </w:pPr>
    </w:lvl>
    <w:lvl w:ilvl="5" w:tplc="03D2DC94" w:tentative="1">
      <w:start w:val="1"/>
      <w:numFmt w:val="decimal"/>
      <w:lvlText w:val="(%6)"/>
      <w:lvlJc w:val="left"/>
      <w:pPr>
        <w:tabs>
          <w:tab w:val="num" w:pos="4320"/>
        </w:tabs>
        <w:ind w:left="4320" w:hanging="360"/>
      </w:pPr>
    </w:lvl>
    <w:lvl w:ilvl="6" w:tplc="BE8C799E" w:tentative="1">
      <w:start w:val="1"/>
      <w:numFmt w:val="decimal"/>
      <w:lvlText w:val="(%7)"/>
      <w:lvlJc w:val="left"/>
      <w:pPr>
        <w:tabs>
          <w:tab w:val="num" w:pos="5040"/>
        </w:tabs>
        <w:ind w:left="5040" w:hanging="360"/>
      </w:pPr>
    </w:lvl>
    <w:lvl w:ilvl="7" w:tplc="30F0F7E8" w:tentative="1">
      <w:start w:val="1"/>
      <w:numFmt w:val="decimal"/>
      <w:lvlText w:val="(%8)"/>
      <w:lvlJc w:val="left"/>
      <w:pPr>
        <w:tabs>
          <w:tab w:val="num" w:pos="5760"/>
        </w:tabs>
        <w:ind w:left="5760" w:hanging="360"/>
      </w:pPr>
    </w:lvl>
    <w:lvl w:ilvl="8" w:tplc="3672076C" w:tentative="1">
      <w:start w:val="1"/>
      <w:numFmt w:val="decimal"/>
      <w:lvlText w:val="(%9)"/>
      <w:lvlJc w:val="left"/>
      <w:pPr>
        <w:tabs>
          <w:tab w:val="num" w:pos="6480"/>
        </w:tabs>
        <w:ind w:left="6480" w:hanging="360"/>
      </w:pPr>
    </w:lvl>
  </w:abstractNum>
  <w:abstractNum w:abstractNumId="11" w15:restartNumberingAfterBreak="0">
    <w:nsid w:val="4AB96DB7"/>
    <w:multiLevelType w:val="hybridMultilevel"/>
    <w:tmpl w:val="4EC2C1E4"/>
    <w:lvl w:ilvl="0" w:tplc="CE80BAF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76C0BF1"/>
    <w:multiLevelType w:val="hybridMultilevel"/>
    <w:tmpl w:val="8738D53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512D04"/>
    <w:multiLevelType w:val="hybridMultilevel"/>
    <w:tmpl w:val="6AA4B2F0"/>
    <w:lvl w:ilvl="0" w:tplc="FFFFFFFF">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A564B73"/>
    <w:multiLevelType w:val="hybridMultilevel"/>
    <w:tmpl w:val="7AFECEBC"/>
    <w:lvl w:ilvl="0" w:tplc="47FA9BC8">
      <w:start w:val="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DFB3B7D"/>
    <w:multiLevelType w:val="hybridMultilevel"/>
    <w:tmpl w:val="B7A81F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880A68"/>
    <w:multiLevelType w:val="hybridMultilevel"/>
    <w:tmpl w:val="792CEA08"/>
    <w:lvl w:ilvl="0" w:tplc="51A216C8">
      <w:start w:val="1"/>
      <w:numFmt w:val="lowerLetter"/>
      <w:lvlText w:val="%1)"/>
      <w:lvlJc w:val="left"/>
      <w:pPr>
        <w:ind w:left="720" w:hanging="360"/>
      </w:pPr>
      <w:rPr>
        <w:rFonts w:cs="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4552F7B"/>
    <w:multiLevelType w:val="hybridMultilevel"/>
    <w:tmpl w:val="85B4BC44"/>
    <w:lvl w:ilvl="0" w:tplc="04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06811191">
    <w:abstractNumId w:val="3"/>
  </w:num>
  <w:num w:numId="2" w16cid:durableId="1379936151">
    <w:abstractNumId w:val="12"/>
  </w:num>
  <w:num w:numId="3" w16cid:durableId="99447922">
    <w:abstractNumId w:val="4"/>
  </w:num>
  <w:num w:numId="4" w16cid:durableId="421923389">
    <w:abstractNumId w:val="14"/>
  </w:num>
  <w:num w:numId="5" w16cid:durableId="43721558">
    <w:abstractNumId w:val="17"/>
  </w:num>
  <w:num w:numId="6" w16cid:durableId="1251280756">
    <w:abstractNumId w:val="8"/>
  </w:num>
  <w:num w:numId="7" w16cid:durableId="595282820">
    <w:abstractNumId w:val="7"/>
  </w:num>
  <w:num w:numId="8" w16cid:durableId="1422797853">
    <w:abstractNumId w:val="15"/>
  </w:num>
  <w:num w:numId="9" w16cid:durableId="184097294">
    <w:abstractNumId w:val="5"/>
  </w:num>
  <w:num w:numId="10" w16cid:durableId="1022822911">
    <w:abstractNumId w:val="9"/>
  </w:num>
  <w:num w:numId="11" w16cid:durableId="858006787">
    <w:abstractNumId w:val="6"/>
  </w:num>
  <w:num w:numId="12" w16cid:durableId="705369102">
    <w:abstractNumId w:val="13"/>
  </w:num>
  <w:num w:numId="13" w16cid:durableId="76826529">
    <w:abstractNumId w:val="0"/>
  </w:num>
  <w:num w:numId="14" w16cid:durableId="549535755">
    <w:abstractNumId w:val="16"/>
  </w:num>
  <w:num w:numId="15" w16cid:durableId="517741281">
    <w:abstractNumId w:val="11"/>
  </w:num>
  <w:num w:numId="16" w16cid:durableId="1832407729">
    <w:abstractNumId w:val="1"/>
  </w:num>
  <w:num w:numId="17" w16cid:durableId="1229196476">
    <w:abstractNumId w:val="10"/>
  </w:num>
  <w:num w:numId="18" w16cid:durableId="1460538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20"/>
    <w:rsid w:val="00005E94"/>
    <w:rsid w:val="00016F18"/>
    <w:rsid w:val="0003119D"/>
    <w:rsid w:val="000418A0"/>
    <w:rsid w:val="0006008A"/>
    <w:rsid w:val="00087032"/>
    <w:rsid w:val="000A2525"/>
    <w:rsid w:val="000B14ED"/>
    <w:rsid w:val="000B48A9"/>
    <w:rsid w:val="000B6CFA"/>
    <w:rsid w:val="000E1B4C"/>
    <w:rsid w:val="00120CE8"/>
    <w:rsid w:val="001452F2"/>
    <w:rsid w:val="00196167"/>
    <w:rsid w:val="001A1CE0"/>
    <w:rsid w:val="001A4385"/>
    <w:rsid w:val="001A6F34"/>
    <w:rsid w:val="001B6E39"/>
    <w:rsid w:val="001B79C0"/>
    <w:rsid w:val="001E0516"/>
    <w:rsid w:val="001E17D8"/>
    <w:rsid w:val="001F47DD"/>
    <w:rsid w:val="001F5E9F"/>
    <w:rsid w:val="001F7C5C"/>
    <w:rsid w:val="00206E8E"/>
    <w:rsid w:val="0024573E"/>
    <w:rsid w:val="00280E3F"/>
    <w:rsid w:val="00284C10"/>
    <w:rsid w:val="00287A23"/>
    <w:rsid w:val="00287A90"/>
    <w:rsid w:val="002A1B1D"/>
    <w:rsid w:val="002A681A"/>
    <w:rsid w:val="002D1999"/>
    <w:rsid w:val="002D7ABF"/>
    <w:rsid w:val="002F0F2C"/>
    <w:rsid w:val="002F36B6"/>
    <w:rsid w:val="00324FD2"/>
    <w:rsid w:val="00340723"/>
    <w:rsid w:val="00347D33"/>
    <w:rsid w:val="00347D6E"/>
    <w:rsid w:val="00377950"/>
    <w:rsid w:val="0038208C"/>
    <w:rsid w:val="003A0E6E"/>
    <w:rsid w:val="003A26DB"/>
    <w:rsid w:val="003A4CDA"/>
    <w:rsid w:val="003A7752"/>
    <w:rsid w:val="003C06E0"/>
    <w:rsid w:val="00411D21"/>
    <w:rsid w:val="0044583D"/>
    <w:rsid w:val="00447B20"/>
    <w:rsid w:val="00450102"/>
    <w:rsid w:val="00477E96"/>
    <w:rsid w:val="004C3586"/>
    <w:rsid w:val="004D0481"/>
    <w:rsid w:val="004D3588"/>
    <w:rsid w:val="00501C68"/>
    <w:rsid w:val="00504E5C"/>
    <w:rsid w:val="005061A2"/>
    <w:rsid w:val="00525553"/>
    <w:rsid w:val="005316DF"/>
    <w:rsid w:val="00541D6D"/>
    <w:rsid w:val="00545E22"/>
    <w:rsid w:val="00560615"/>
    <w:rsid w:val="005818CF"/>
    <w:rsid w:val="00582F0D"/>
    <w:rsid w:val="00592D55"/>
    <w:rsid w:val="005A25BD"/>
    <w:rsid w:val="005B36A4"/>
    <w:rsid w:val="005C4EC4"/>
    <w:rsid w:val="005C583E"/>
    <w:rsid w:val="005E672F"/>
    <w:rsid w:val="005F3747"/>
    <w:rsid w:val="00611291"/>
    <w:rsid w:val="00627162"/>
    <w:rsid w:val="006317C8"/>
    <w:rsid w:val="006403B8"/>
    <w:rsid w:val="00642FD1"/>
    <w:rsid w:val="006473A4"/>
    <w:rsid w:val="006560EF"/>
    <w:rsid w:val="00697F0C"/>
    <w:rsid w:val="006A7AA8"/>
    <w:rsid w:val="006C4034"/>
    <w:rsid w:val="006D4F1B"/>
    <w:rsid w:val="006F7BAA"/>
    <w:rsid w:val="006F7F83"/>
    <w:rsid w:val="00702703"/>
    <w:rsid w:val="00703720"/>
    <w:rsid w:val="00704245"/>
    <w:rsid w:val="007338C4"/>
    <w:rsid w:val="00743909"/>
    <w:rsid w:val="0076032E"/>
    <w:rsid w:val="0076495D"/>
    <w:rsid w:val="00774E0C"/>
    <w:rsid w:val="00785F20"/>
    <w:rsid w:val="0079025D"/>
    <w:rsid w:val="00790F88"/>
    <w:rsid w:val="007B368B"/>
    <w:rsid w:val="007D10C3"/>
    <w:rsid w:val="007F1F4B"/>
    <w:rsid w:val="008039E5"/>
    <w:rsid w:val="00814EA8"/>
    <w:rsid w:val="00822B34"/>
    <w:rsid w:val="008242FD"/>
    <w:rsid w:val="00864779"/>
    <w:rsid w:val="00866D68"/>
    <w:rsid w:val="0089377B"/>
    <w:rsid w:val="008A681D"/>
    <w:rsid w:val="008B597B"/>
    <w:rsid w:val="008D41C7"/>
    <w:rsid w:val="008E79FA"/>
    <w:rsid w:val="008F1F08"/>
    <w:rsid w:val="00904885"/>
    <w:rsid w:val="00920666"/>
    <w:rsid w:val="0092421A"/>
    <w:rsid w:val="009248B4"/>
    <w:rsid w:val="0092709A"/>
    <w:rsid w:val="00937A11"/>
    <w:rsid w:val="00940DB8"/>
    <w:rsid w:val="00951499"/>
    <w:rsid w:val="00953F17"/>
    <w:rsid w:val="00965922"/>
    <w:rsid w:val="009723DC"/>
    <w:rsid w:val="00977946"/>
    <w:rsid w:val="00984782"/>
    <w:rsid w:val="00994CF9"/>
    <w:rsid w:val="009A1A68"/>
    <w:rsid w:val="009A2A35"/>
    <w:rsid w:val="009B3FD5"/>
    <w:rsid w:val="009D671C"/>
    <w:rsid w:val="009E616D"/>
    <w:rsid w:val="009F15B0"/>
    <w:rsid w:val="009F1763"/>
    <w:rsid w:val="00A06B20"/>
    <w:rsid w:val="00A27B1B"/>
    <w:rsid w:val="00A344B9"/>
    <w:rsid w:val="00A52791"/>
    <w:rsid w:val="00A531DD"/>
    <w:rsid w:val="00A5455C"/>
    <w:rsid w:val="00A63AC0"/>
    <w:rsid w:val="00A74304"/>
    <w:rsid w:val="00A8448F"/>
    <w:rsid w:val="00AA4F4E"/>
    <w:rsid w:val="00AC1EA2"/>
    <w:rsid w:val="00AD419C"/>
    <w:rsid w:val="00AD5751"/>
    <w:rsid w:val="00AD7614"/>
    <w:rsid w:val="00AE178E"/>
    <w:rsid w:val="00B0456F"/>
    <w:rsid w:val="00B136CA"/>
    <w:rsid w:val="00B139A6"/>
    <w:rsid w:val="00B3375B"/>
    <w:rsid w:val="00B34635"/>
    <w:rsid w:val="00B40018"/>
    <w:rsid w:val="00B529C4"/>
    <w:rsid w:val="00B825E3"/>
    <w:rsid w:val="00B87A05"/>
    <w:rsid w:val="00BA0A2D"/>
    <w:rsid w:val="00BA7BE9"/>
    <w:rsid w:val="00BB0D9A"/>
    <w:rsid w:val="00BB5451"/>
    <w:rsid w:val="00BB6A64"/>
    <w:rsid w:val="00BC06B0"/>
    <w:rsid w:val="00BD31A2"/>
    <w:rsid w:val="00BD5B9B"/>
    <w:rsid w:val="00BE1089"/>
    <w:rsid w:val="00BE6EDA"/>
    <w:rsid w:val="00BF53D5"/>
    <w:rsid w:val="00BF62B0"/>
    <w:rsid w:val="00C108CD"/>
    <w:rsid w:val="00C10D16"/>
    <w:rsid w:val="00C15F9F"/>
    <w:rsid w:val="00C1734D"/>
    <w:rsid w:val="00C366F8"/>
    <w:rsid w:val="00C40124"/>
    <w:rsid w:val="00C439A8"/>
    <w:rsid w:val="00C76259"/>
    <w:rsid w:val="00C802B2"/>
    <w:rsid w:val="00C90EA8"/>
    <w:rsid w:val="00CA35CD"/>
    <w:rsid w:val="00CC1CCE"/>
    <w:rsid w:val="00CC4050"/>
    <w:rsid w:val="00CD1CFD"/>
    <w:rsid w:val="00CD25CC"/>
    <w:rsid w:val="00CD6D99"/>
    <w:rsid w:val="00CE2044"/>
    <w:rsid w:val="00CE5E30"/>
    <w:rsid w:val="00CE612D"/>
    <w:rsid w:val="00CF0B0F"/>
    <w:rsid w:val="00D14A7D"/>
    <w:rsid w:val="00D35863"/>
    <w:rsid w:val="00D453D4"/>
    <w:rsid w:val="00D45C94"/>
    <w:rsid w:val="00D852F0"/>
    <w:rsid w:val="00D92C71"/>
    <w:rsid w:val="00D94C23"/>
    <w:rsid w:val="00DB4D68"/>
    <w:rsid w:val="00DC798A"/>
    <w:rsid w:val="00DE7D48"/>
    <w:rsid w:val="00DF2623"/>
    <w:rsid w:val="00E32D15"/>
    <w:rsid w:val="00E377A3"/>
    <w:rsid w:val="00E6363A"/>
    <w:rsid w:val="00E863BE"/>
    <w:rsid w:val="00EA7B96"/>
    <w:rsid w:val="00EB41D0"/>
    <w:rsid w:val="00EB727F"/>
    <w:rsid w:val="00F03560"/>
    <w:rsid w:val="00F06436"/>
    <w:rsid w:val="00F16B72"/>
    <w:rsid w:val="00F220B3"/>
    <w:rsid w:val="00F24239"/>
    <w:rsid w:val="00F25941"/>
    <w:rsid w:val="00F40B69"/>
    <w:rsid w:val="00F47688"/>
    <w:rsid w:val="00F85655"/>
    <w:rsid w:val="00F95896"/>
    <w:rsid w:val="00FA1810"/>
    <w:rsid w:val="00FA48F9"/>
    <w:rsid w:val="00FA7C52"/>
    <w:rsid w:val="00FB7381"/>
    <w:rsid w:val="00FC0CFE"/>
    <w:rsid w:val="00FD1732"/>
    <w:rsid w:val="00FF423F"/>
    <w:rsid w:val="00FF773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D0D1"/>
  <w15:chartTrackingRefBased/>
  <w15:docId w15:val="{1B9138EC-F5B1-4FA0-AC95-9E06887C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F20"/>
    <w:pPr>
      <w:spacing w:after="0" w:line="240" w:lineRule="auto"/>
    </w:pPr>
    <w:rPr>
      <w:rFonts w:ascii="Calibri" w:hAnsi="Calibri" w:cs="Calibri"/>
      <w:kern w:val="0"/>
      <w:lang w:eastAsia="fr-FR"/>
    </w:rPr>
  </w:style>
  <w:style w:type="paragraph" w:styleId="Titre1">
    <w:name w:val="heading 1"/>
    <w:basedOn w:val="Normal"/>
    <w:link w:val="Titre1Car"/>
    <w:uiPriority w:val="9"/>
    <w:qFormat/>
    <w:rsid w:val="00A27B1B"/>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5F20"/>
    <w:pPr>
      <w:ind w:left="720"/>
      <w:contextualSpacing/>
    </w:pPr>
  </w:style>
  <w:style w:type="paragraph" w:customStyle="1" w:styleId="Corps">
    <w:name w:val="Corps"/>
    <w:rsid w:val="00785F20"/>
    <w:pPr>
      <w:pBdr>
        <w:top w:val="nil"/>
        <w:left w:val="nil"/>
        <w:bottom w:val="nil"/>
        <w:right w:val="nil"/>
        <w:between w:val="nil"/>
        <w:bar w:val="nil"/>
      </w:pBdr>
      <w:spacing w:after="0" w:line="240" w:lineRule="auto"/>
    </w:pPr>
    <w:rPr>
      <w:rFonts w:ascii="Calibri" w:eastAsia="Arial Unicode MS" w:hAnsi="Calibri" w:cs="Arial Unicode MS"/>
      <w:color w:val="000000"/>
      <w:kern w:val="0"/>
      <w:u w:color="000000"/>
      <w:bdr w:val="nil"/>
      <w:lang w:val="de-DE" w:eastAsia="fr-FR"/>
    </w:rPr>
  </w:style>
  <w:style w:type="character" w:styleId="lev">
    <w:name w:val="Strong"/>
    <w:basedOn w:val="Policepardfaut"/>
    <w:uiPriority w:val="22"/>
    <w:qFormat/>
    <w:rsid w:val="00785F20"/>
    <w:rPr>
      <w:b/>
      <w:bCs/>
    </w:rPr>
  </w:style>
  <w:style w:type="paragraph" w:styleId="NormalWeb">
    <w:name w:val="Normal (Web)"/>
    <w:basedOn w:val="Normal"/>
    <w:uiPriority w:val="99"/>
    <w:semiHidden/>
    <w:unhideWhenUsed/>
    <w:rsid w:val="00B40018"/>
    <w:pPr>
      <w:spacing w:before="100" w:beforeAutospacing="1" w:after="100" w:afterAutospacing="1"/>
    </w:pPr>
    <w:rPr>
      <w:rFonts w:ascii="Times New Roman" w:eastAsia="Times New Roman" w:hAnsi="Times New Roman" w:cs="Times New Roman"/>
      <w:sz w:val="24"/>
      <w:szCs w:val="24"/>
      <w14:ligatures w14:val="none"/>
    </w:rPr>
  </w:style>
  <w:style w:type="character" w:customStyle="1" w:styleId="Titre1Car">
    <w:name w:val="Titre 1 Car"/>
    <w:basedOn w:val="Policepardfaut"/>
    <w:link w:val="Titre1"/>
    <w:uiPriority w:val="9"/>
    <w:rsid w:val="00A27B1B"/>
    <w:rPr>
      <w:rFonts w:ascii="Times New Roman" w:eastAsia="Times New Roman" w:hAnsi="Times New Roman" w:cs="Times New Roman"/>
      <w:b/>
      <w:bCs/>
      <w:kern w:val="36"/>
      <w:sz w:val="48"/>
      <w:szCs w:val="48"/>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4107">
      <w:bodyDiv w:val="1"/>
      <w:marLeft w:val="0"/>
      <w:marRight w:val="0"/>
      <w:marTop w:val="0"/>
      <w:marBottom w:val="0"/>
      <w:divBdr>
        <w:top w:val="none" w:sz="0" w:space="0" w:color="auto"/>
        <w:left w:val="none" w:sz="0" w:space="0" w:color="auto"/>
        <w:bottom w:val="none" w:sz="0" w:space="0" w:color="auto"/>
        <w:right w:val="none" w:sz="0" w:space="0" w:color="auto"/>
      </w:divBdr>
    </w:div>
    <w:div w:id="140194232">
      <w:bodyDiv w:val="1"/>
      <w:marLeft w:val="0"/>
      <w:marRight w:val="0"/>
      <w:marTop w:val="0"/>
      <w:marBottom w:val="0"/>
      <w:divBdr>
        <w:top w:val="none" w:sz="0" w:space="0" w:color="auto"/>
        <w:left w:val="none" w:sz="0" w:space="0" w:color="auto"/>
        <w:bottom w:val="none" w:sz="0" w:space="0" w:color="auto"/>
        <w:right w:val="none" w:sz="0" w:space="0" w:color="auto"/>
      </w:divBdr>
      <w:divsChild>
        <w:div w:id="1047027692">
          <w:marLeft w:val="547"/>
          <w:marRight w:val="0"/>
          <w:marTop w:val="0"/>
          <w:marBottom w:val="0"/>
          <w:divBdr>
            <w:top w:val="none" w:sz="0" w:space="0" w:color="auto"/>
            <w:left w:val="none" w:sz="0" w:space="0" w:color="auto"/>
            <w:bottom w:val="none" w:sz="0" w:space="0" w:color="auto"/>
            <w:right w:val="none" w:sz="0" w:space="0" w:color="auto"/>
          </w:divBdr>
        </w:div>
      </w:divsChild>
    </w:div>
    <w:div w:id="379863631">
      <w:bodyDiv w:val="1"/>
      <w:marLeft w:val="0"/>
      <w:marRight w:val="0"/>
      <w:marTop w:val="0"/>
      <w:marBottom w:val="0"/>
      <w:divBdr>
        <w:top w:val="none" w:sz="0" w:space="0" w:color="auto"/>
        <w:left w:val="none" w:sz="0" w:space="0" w:color="auto"/>
        <w:bottom w:val="none" w:sz="0" w:space="0" w:color="auto"/>
        <w:right w:val="none" w:sz="0" w:space="0" w:color="auto"/>
      </w:divBdr>
    </w:div>
    <w:div w:id="1166358272">
      <w:bodyDiv w:val="1"/>
      <w:marLeft w:val="0"/>
      <w:marRight w:val="0"/>
      <w:marTop w:val="0"/>
      <w:marBottom w:val="0"/>
      <w:divBdr>
        <w:top w:val="none" w:sz="0" w:space="0" w:color="auto"/>
        <w:left w:val="none" w:sz="0" w:space="0" w:color="auto"/>
        <w:bottom w:val="none" w:sz="0" w:space="0" w:color="auto"/>
        <w:right w:val="none" w:sz="0" w:space="0" w:color="auto"/>
      </w:divBdr>
    </w:div>
    <w:div w:id="1204945373">
      <w:bodyDiv w:val="1"/>
      <w:marLeft w:val="0"/>
      <w:marRight w:val="0"/>
      <w:marTop w:val="0"/>
      <w:marBottom w:val="0"/>
      <w:divBdr>
        <w:top w:val="none" w:sz="0" w:space="0" w:color="auto"/>
        <w:left w:val="none" w:sz="0" w:space="0" w:color="auto"/>
        <w:bottom w:val="none" w:sz="0" w:space="0" w:color="auto"/>
        <w:right w:val="none" w:sz="0" w:space="0" w:color="auto"/>
      </w:divBdr>
    </w:div>
    <w:div w:id="141400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1223</Words>
  <Characters>6730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cazes</dc:creator>
  <cp:keywords/>
  <dc:description/>
  <cp:lastModifiedBy>Valérie Vanwormhoudt</cp:lastModifiedBy>
  <cp:revision>6</cp:revision>
  <dcterms:created xsi:type="dcterms:W3CDTF">2023-10-27T10:45:00Z</dcterms:created>
  <dcterms:modified xsi:type="dcterms:W3CDTF">2023-10-27T10:48:00Z</dcterms:modified>
</cp:coreProperties>
</file>